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A53" w:rsidRDefault="001F444F">
      <w:pPr>
        <w:spacing w:before="1800"/>
        <w:jc w:val="center"/>
      </w:pPr>
      <w:r>
        <w:rPr>
          <w:b/>
          <w:bCs/>
          <w:color w:val="1F3864"/>
          <w:sz w:val="56"/>
          <w:szCs w:val="56"/>
        </w:rPr>
        <w:t>MALANA RESEARCH</w:t>
      </w:r>
    </w:p>
    <w:p w:rsidR="00521A53" w:rsidRDefault="001F444F">
      <w:pPr>
        <w:spacing w:after="320"/>
        <w:jc w:val="center"/>
      </w:pPr>
      <w:r>
        <w:rPr>
          <w:b/>
          <w:bCs/>
          <w:color w:val="1F3864"/>
          <w:sz w:val="40"/>
          <w:szCs w:val="40"/>
        </w:rPr>
        <w:t>CONSULT INTERNATIONAL</w:t>
      </w:r>
    </w:p>
    <w:p w:rsidR="00521A53" w:rsidRDefault="001F444F">
      <w:pPr>
        <w:spacing w:after="200"/>
        <w:jc w:val="center"/>
      </w:pPr>
      <w:r>
        <w:rPr>
          <w:b/>
          <w:bCs/>
          <w:color w:val="B08D57"/>
          <w:sz w:val="32"/>
          <w:szCs w:val="32"/>
        </w:rPr>
        <w:t>AFRICA MARKET RESEARCH FEASIBILITY</w:t>
      </w:r>
    </w:p>
    <w:p w:rsidR="00521A53" w:rsidRDefault="001F444F">
      <w:pPr>
        <w:spacing w:after="1200"/>
        <w:jc w:val="center"/>
      </w:pPr>
      <w:r>
        <w:rPr>
          <w:i/>
          <w:iCs/>
          <w:color w:val="595959"/>
          <w:sz w:val="26"/>
          <w:szCs w:val="26"/>
        </w:rPr>
        <w:t>Our Fieldwork Capability &amp; Coverage Overview</w:t>
      </w:r>
    </w:p>
    <w:p w:rsidR="00521A53" w:rsidRDefault="001F444F">
      <w:pPr>
        <w:spacing w:after="80"/>
        <w:jc w:val="center"/>
      </w:pPr>
      <w:r>
        <w:rPr>
          <w:color w:val="595959"/>
        </w:rPr>
        <w:t>Prepared for client feasibility review</w:t>
      </w:r>
    </w:p>
    <w:p w:rsidR="00521A53" w:rsidRDefault="001F444F">
      <w:pPr>
        <w:spacing w:after="80"/>
        <w:jc w:val="center"/>
      </w:pPr>
      <w:r>
        <w:rPr>
          <w:color w:val="595959"/>
        </w:rPr>
        <w:t>September 2026</w:t>
      </w:r>
    </w:p>
    <w:p w:rsidR="00521A53" w:rsidRDefault="001F444F">
      <w:pPr>
        <w:spacing w:before="2400"/>
        <w:jc w:val="center"/>
      </w:pPr>
      <w:r>
        <w:rPr>
          <w:i/>
          <w:iCs/>
          <w:color w:val="595959"/>
          <w:sz w:val="18"/>
          <w:szCs w:val="18"/>
        </w:rPr>
        <w:t>Markets covered: South Africa · Nigeria · Kenya · Egypt · Ghana · Morocco · Côte d'</w:t>
      </w:r>
      <w:r>
        <w:rPr>
          <w:i/>
          <w:iCs/>
          <w:color w:val="595959"/>
          <w:sz w:val="18"/>
          <w:szCs w:val="18"/>
        </w:rPr>
        <w:t>Ivoire · Ethiopia · Tanzania · Uganda · Senegal · Rwanda · Zambia · Cameroon (+ additional markets on request)</w:t>
      </w:r>
    </w:p>
    <w:p w:rsidR="00521A53" w:rsidRDefault="001F444F">
      <w:r>
        <w:br w:type="page"/>
      </w:r>
    </w:p>
    <w:p w:rsidR="00521A53" w:rsidRDefault="00521A53">
      <w:pPr>
        <w:sectPr w:rsidR="00521A53">
          <w:pgSz w:w="11906" w:h="16838"/>
          <w:pgMar w:top="1000" w:right="1000" w:bottom="1000" w:left="1000" w:header="708" w:footer="708" w:gutter="0"/>
          <w:cols w:space="720"/>
          <w:docGrid w:linePitch="360"/>
        </w:sectPr>
      </w:pPr>
    </w:p>
    <w:p w:rsidR="00521A53" w:rsidRDefault="001F444F">
      <w:pPr>
        <w:pStyle w:val="Heading1"/>
        <w:pBdr>
          <w:bottom w:val="single" w:sz="6" w:space="4" w:color="B08D57"/>
        </w:pBdr>
        <w:spacing w:before="400" w:after="200"/>
      </w:pPr>
      <w:bookmarkStart w:id="0" w:name="_Toc239302359"/>
      <w:r>
        <w:rPr>
          <w:b/>
          <w:bCs/>
          <w:color w:val="1F3864"/>
        </w:rPr>
        <w:lastRenderedPageBreak/>
        <w:t>Contents</w:t>
      </w:r>
      <w:bookmarkEnd w:id="0"/>
    </w:p>
    <w:sdt>
      <w:sdtPr>
        <w:alias w:val="Contents"/>
        <w:id w:val="588041123"/>
      </w:sdtPr>
      <w:sdtEndPr/>
      <w:sdtContent>
        <w:p w:rsidR="00344EBC" w:rsidRDefault="001F444F">
          <w:pPr>
            <w:pStyle w:val="TOC1"/>
            <w:tabs>
              <w:tab w:val="right" w:leader="dot" w:pos="9896"/>
            </w:tabs>
            <w:rPr>
              <w:noProof/>
            </w:rPr>
          </w:pPr>
          <w:r>
            <w:fldChar w:fldCharType="begin"/>
          </w:r>
          <w:r>
            <w:instrText>TOC \h \o "1-2"</w:instrText>
          </w:r>
          <w:r>
            <w:fldChar w:fldCharType="separate"/>
          </w:r>
          <w:hyperlink w:anchor="_Toc239302359" w:history="1">
            <w:r w:rsidR="00344EBC" w:rsidRPr="00283F25">
              <w:rPr>
                <w:rStyle w:val="Hyperlink"/>
                <w:b/>
                <w:bCs/>
                <w:noProof/>
              </w:rPr>
              <w:t>Contents</w:t>
            </w:r>
            <w:r w:rsidR="00344EBC">
              <w:rPr>
                <w:noProof/>
              </w:rPr>
              <w:tab/>
            </w:r>
            <w:r w:rsidR="00344EBC">
              <w:rPr>
                <w:noProof/>
              </w:rPr>
              <w:fldChar w:fldCharType="begin"/>
            </w:r>
            <w:r w:rsidR="00344EBC">
              <w:rPr>
                <w:noProof/>
              </w:rPr>
              <w:instrText xml:space="preserve"> PAGEREF _Toc239302359 \h </w:instrText>
            </w:r>
            <w:r w:rsidR="00344EBC">
              <w:rPr>
                <w:noProof/>
              </w:rPr>
            </w:r>
            <w:r w:rsidR="00344EBC">
              <w:rPr>
                <w:noProof/>
              </w:rPr>
              <w:fldChar w:fldCharType="separate"/>
            </w:r>
            <w:r w:rsidR="00344EBC">
              <w:rPr>
                <w:noProof/>
              </w:rPr>
              <w:t>2</w:t>
            </w:r>
            <w:r w:rsidR="00344EBC">
              <w:rPr>
                <w:noProof/>
              </w:rPr>
              <w:fldChar w:fldCharType="end"/>
            </w:r>
          </w:hyperlink>
        </w:p>
        <w:p w:rsidR="00344EBC" w:rsidRDefault="00344EBC">
          <w:pPr>
            <w:pStyle w:val="TOC1"/>
            <w:tabs>
              <w:tab w:val="right" w:leader="dot" w:pos="9896"/>
            </w:tabs>
            <w:rPr>
              <w:noProof/>
            </w:rPr>
          </w:pPr>
          <w:hyperlink w:anchor="_Toc239302360" w:history="1">
            <w:r w:rsidRPr="00283F25">
              <w:rPr>
                <w:rStyle w:val="Hyperlink"/>
                <w:b/>
                <w:bCs/>
                <w:noProof/>
              </w:rPr>
              <w:t>1. Typical Incidence Rates (IR)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_Toc239302360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:rsidR="00344EBC" w:rsidRDefault="00344EBC">
          <w:pPr>
            <w:pStyle w:val="TOC2"/>
            <w:tabs>
              <w:tab w:val="right" w:leader="dot" w:pos="9896"/>
            </w:tabs>
            <w:rPr>
              <w:noProof/>
            </w:rPr>
          </w:pPr>
          <w:hyperlink w:anchor="_Toc239302361" w:history="1">
            <w:r w:rsidRPr="00283F25">
              <w:rPr>
                <w:rStyle w:val="Hyperlink"/>
                <w:b/>
                <w:bCs/>
                <w:noProof/>
              </w:rPr>
              <w:t>General population studies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_Toc239302361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:rsidR="00344EBC" w:rsidRDefault="00344EBC">
          <w:pPr>
            <w:pStyle w:val="TOC2"/>
            <w:tabs>
              <w:tab w:val="right" w:leader="dot" w:pos="9896"/>
            </w:tabs>
            <w:rPr>
              <w:noProof/>
            </w:rPr>
          </w:pPr>
          <w:hyperlink w:anchor="_Toc239302362" w:history="1">
            <w:r w:rsidRPr="00283F25">
              <w:rPr>
                <w:rStyle w:val="Hyperlink"/>
                <w:b/>
                <w:bCs/>
                <w:noProof/>
              </w:rPr>
              <w:t>B2B and professional studies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_Toc239302362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:rsidR="00344EBC" w:rsidRDefault="00344EBC">
          <w:pPr>
            <w:pStyle w:val="TOC2"/>
            <w:tabs>
              <w:tab w:val="right" w:leader="dot" w:pos="9896"/>
            </w:tabs>
            <w:rPr>
              <w:noProof/>
            </w:rPr>
          </w:pPr>
          <w:hyperlink w:anchor="_Toc239302363" w:history="1">
            <w:r w:rsidRPr="00283F25">
              <w:rPr>
                <w:rStyle w:val="Hyperlink"/>
                <w:b/>
                <w:bCs/>
                <w:noProof/>
              </w:rPr>
              <w:t>Healthcare studies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_Toc239302363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:rsidR="00344EBC" w:rsidRDefault="00344EBC">
          <w:pPr>
            <w:pStyle w:val="TOC1"/>
            <w:tabs>
              <w:tab w:val="right" w:leader="dot" w:pos="9896"/>
            </w:tabs>
            <w:rPr>
              <w:noProof/>
            </w:rPr>
          </w:pPr>
          <w:hyperlink w:anchor="_Toc239302364" w:history="1">
            <w:r w:rsidRPr="00283F25">
              <w:rPr>
                <w:rStyle w:val="Hyperlink"/>
                <w:b/>
                <w:bCs/>
                <w:noProof/>
              </w:rPr>
              <w:t>2. Average Turnaround Time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_Toc239302364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:rsidR="00344EBC" w:rsidRDefault="00344EBC">
          <w:pPr>
            <w:pStyle w:val="TOC1"/>
            <w:tabs>
              <w:tab w:val="right" w:leader="dot" w:pos="9896"/>
            </w:tabs>
            <w:rPr>
              <w:noProof/>
            </w:rPr>
          </w:pPr>
          <w:hyperlink w:anchor="_Toc239302365" w:history="1">
            <w:r w:rsidRPr="00283F25">
              <w:rPr>
                <w:rStyle w:val="Hyperlink"/>
                <w:b/>
                <w:bCs/>
                <w:noProof/>
              </w:rPr>
              <w:t>3. Minimum Viable Sample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_Toc239302365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:rsidR="00344EBC" w:rsidRDefault="00344EBC">
          <w:pPr>
            <w:pStyle w:val="TOC1"/>
            <w:tabs>
              <w:tab w:val="right" w:leader="dot" w:pos="9896"/>
            </w:tabs>
            <w:rPr>
              <w:noProof/>
            </w:rPr>
          </w:pPr>
          <w:hyperlink w:anchor="_Toc239302366" w:history="1">
            <w:r w:rsidRPr="00283F25">
              <w:rPr>
                <w:rStyle w:val="Hyperlink"/>
                <w:b/>
                <w:bCs/>
                <w:noProof/>
              </w:rPr>
              <w:t>4. Maximum Feasible Sample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_Toc239302366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:rsidR="00344EBC" w:rsidRDefault="00344EBC">
          <w:pPr>
            <w:pStyle w:val="TOC1"/>
            <w:tabs>
              <w:tab w:val="right" w:leader="dot" w:pos="9896"/>
            </w:tabs>
            <w:rPr>
              <w:noProof/>
            </w:rPr>
          </w:pPr>
          <w:hyperlink w:anchor="_Toc239302367" w:history="1">
            <w:r w:rsidRPr="00283F25">
              <w:rPr>
                <w:rStyle w:val="Hyperlink"/>
                <w:b/>
                <w:bCs/>
                <w:noProof/>
              </w:rPr>
              <w:t>5. B2B Capabilities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_Toc239302367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:rsidR="00344EBC" w:rsidRDefault="00344EBC">
          <w:pPr>
            <w:pStyle w:val="TOC1"/>
            <w:tabs>
              <w:tab w:val="right" w:leader="dot" w:pos="9896"/>
            </w:tabs>
            <w:rPr>
              <w:noProof/>
            </w:rPr>
          </w:pPr>
          <w:hyperlink w:anchor="_Toc239302368" w:history="1">
            <w:r w:rsidRPr="00283F25">
              <w:rPr>
                <w:rStyle w:val="Hyperlink"/>
                <w:b/>
                <w:bCs/>
                <w:noProof/>
              </w:rPr>
              <w:t>6. Healthcare Capabilities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_Toc239302368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:rsidR="00344EBC" w:rsidRDefault="00344EBC">
          <w:pPr>
            <w:pStyle w:val="TOC1"/>
            <w:tabs>
              <w:tab w:val="right" w:leader="dot" w:pos="9896"/>
            </w:tabs>
            <w:rPr>
              <w:noProof/>
            </w:rPr>
          </w:pPr>
          <w:hyperlink w:anchor="_Toc239302369" w:history="1">
            <w:r w:rsidRPr="00283F25">
              <w:rPr>
                <w:rStyle w:val="Hyperlink"/>
                <w:b/>
                <w:bCs/>
                <w:noProof/>
              </w:rPr>
              <w:t>7. Professional Respondent Recruitment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_Toc239302369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:rsidR="00344EBC" w:rsidRDefault="00344EBC">
          <w:pPr>
            <w:pStyle w:val="TOC1"/>
            <w:tabs>
              <w:tab w:val="right" w:leader="dot" w:pos="9896"/>
            </w:tabs>
            <w:rPr>
              <w:noProof/>
            </w:rPr>
          </w:pPr>
          <w:hyperlink w:anchor="_Toc239302370" w:history="1">
            <w:r w:rsidRPr="00283F25">
              <w:rPr>
                <w:rStyle w:val="Hyperlink"/>
                <w:b/>
                <w:bCs/>
                <w:noProof/>
              </w:rPr>
              <w:t>8. Rural / Urban Coverage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_Toc239302370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:rsidR="00344EBC" w:rsidRDefault="00344EBC">
          <w:pPr>
            <w:pStyle w:val="TOC1"/>
            <w:tabs>
              <w:tab w:val="right" w:leader="dot" w:pos="9896"/>
            </w:tabs>
            <w:rPr>
              <w:noProof/>
            </w:rPr>
          </w:pPr>
          <w:hyperlink w:anchor="_Toc239302371" w:history="1">
            <w:r w:rsidRPr="00283F25">
              <w:rPr>
                <w:rStyle w:val="Hyperlink"/>
                <w:b/>
                <w:bCs/>
                <w:noProof/>
              </w:rPr>
              <w:t>9. Quality Controls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_Toc239302371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:rsidR="00344EBC" w:rsidRDefault="00344EBC">
          <w:pPr>
            <w:pStyle w:val="TOC1"/>
            <w:tabs>
              <w:tab w:val="right" w:leader="dot" w:pos="9896"/>
            </w:tabs>
            <w:rPr>
              <w:noProof/>
            </w:rPr>
          </w:pPr>
          <w:hyperlink w:anchor="_Toc239302372" w:history="1">
            <w:r w:rsidRPr="00283F25">
              <w:rPr>
                <w:rStyle w:val="Hyperlink"/>
                <w:b/>
                <w:bCs/>
                <w:noProof/>
              </w:rPr>
              <w:t>10. Fraud Prevention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_Toc239302372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:rsidR="00344EBC" w:rsidRDefault="00344EBC">
          <w:pPr>
            <w:pStyle w:val="TOC1"/>
            <w:tabs>
              <w:tab w:val="right" w:leader="dot" w:pos="9896"/>
            </w:tabs>
            <w:rPr>
              <w:noProof/>
            </w:rPr>
          </w:pPr>
          <w:hyperlink w:anchor="_Toc239302373" w:history="1">
            <w:r w:rsidRPr="00283F25">
              <w:rPr>
                <w:rStyle w:val="Hyperlink"/>
                <w:b/>
                <w:bCs/>
                <w:noProof/>
              </w:rPr>
              <w:t>11. Incentive Methodology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_Toc239302373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:rsidR="00344EBC" w:rsidRDefault="00344EBC">
          <w:pPr>
            <w:pStyle w:val="TOC1"/>
            <w:tabs>
              <w:tab w:val="right" w:leader="dot" w:pos="9896"/>
            </w:tabs>
            <w:rPr>
              <w:noProof/>
            </w:rPr>
          </w:pPr>
          <w:hyperlink w:anchor="_Toc239302374" w:history="1">
            <w:r w:rsidRPr="00283F25">
              <w:rPr>
                <w:rStyle w:val="Hyperlink"/>
                <w:b/>
                <w:bCs/>
                <w:noProof/>
              </w:rPr>
              <w:t>12. Data Protection &amp; Compliance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_Toc239302374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:rsidR="00344EBC" w:rsidRDefault="00344EBC">
          <w:pPr>
            <w:pStyle w:val="TOC1"/>
            <w:tabs>
              <w:tab w:val="right" w:leader="dot" w:pos="9896"/>
            </w:tabs>
            <w:rPr>
              <w:noProof/>
            </w:rPr>
          </w:pPr>
          <w:hyperlink w:anchor="_Toc239302375" w:history="1">
            <w:r w:rsidRPr="00283F25">
              <w:rPr>
                <w:rStyle w:val="Hyperlink"/>
                <w:b/>
                <w:bCs/>
                <w:noProof/>
              </w:rPr>
              <w:t>13. Languages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_Toc239302375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:rsidR="00344EBC" w:rsidRDefault="00344EBC">
          <w:pPr>
            <w:pStyle w:val="TOC1"/>
            <w:tabs>
              <w:tab w:val="right" w:leader="dot" w:pos="9896"/>
            </w:tabs>
            <w:rPr>
              <w:noProof/>
            </w:rPr>
          </w:pPr>
          <w:hyperlink w:anchor="_Toc239302376" w:history="1">
            <w:r w:rsidRPr="00283F25">
              <w:rPr>
                <w:rStyle w:val="Hyperlink"/>
                <w:b/>
                <w:bCs/>
                <w:noProof/>
              </w:rPr>
              <w:t>14. Case Studies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_Toc239302376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:rsidR="00344EBC" w:rsidRDefault="00344EBC">
          <w:pPr>
            <w:pStyle w:val="TOC2"/>
            <w:tabs>
              <w:tab w:val="right" w:leader="dot" w:pos="9896"/>
            </w:tabs>
            <w:rPr>
              <w:noProof/>
            </w:rPr>
          </w:pPr>
          <w:hyperlink w:anchor="_Toc239302377" w:history="1">
            <w:r w:rsidRPr="00283F25">
              <w:rPr>
                <w:rStyle w:val="Hyperlink"/>
                <w:b/>
                <w:bCs/>
                <w:noProof/>
              </w:rPr>
              <w:t>Case study 1 — Pan-African telecom U&amp;A tracker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_Toc239302377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:rsidR="00344EBC" w:rsidRDefault="00344EBC">
          <w:pPr>
            <w:pStyle w:val="TOC2"/>
            <w:tabs>
              <w:tab w:val="right" w:leader="dot" w:pos="9896"/>
            </w:tabs>
            <w:rPr>
              <w:noProof/>
            </w:rPr>
          </w:pPr>
          <w:hyperlink w:anchor="_Toc239302378" w:history="1">
            <w:r w:rsidRPr="00283F25">
              <w:rPr>
                <w:rStyle w:val="Hyperlink"/>
                <w:b/>
                <w:bCs/>
                <w:noProof/>
              </w:rPr>
              <w:t>Case study 2 — Healthcare professional study, East &amp; Southern Africa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_Toc239302378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:rsidR="00344EBC" w:rsidRDefault="00344EBC">
          <w:pPr>
            <w:pStyle w:val="TOC2"/>
            <w:tabs>
              <w:tab w:val="right" w:leader="dot" w:pos="9896"/>
            </w:tabs>
            <w:rPr>
              <w:noProof/>
            </w:rPr>
          </w:pPr>
          <w:hyperlink w:anchor="_Toc239302379" w:history="1">
            <w:r w:rsidRPr="00283F25">
              <w:rPr>
                <w:rStyle w:val="Hyperlink"/>
                <w:b/>
                <w:bCs/>
                <w:noProof/>
              </w:rPr>
              <w:t>Case study 3 — B2B decision-maker research, West Africa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_Toc239302379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:rsidR="00344EBC" w:rsidRDefault="00344EBC">
          <w:pPr>
            <w:pStyle w:val="TOC2"/>
            <w:tabs>
              <w:tab w:val="right" w:leader="dot" w:pos="9896"/>
            </w:tabs>
            <w:rPr>
              <w:noProof/>
            </w:rPr>
          </w:pPr>
          <w:hyperlink w:anchor="_Toc239302380" w:history="1">
            <w:r w:rsidRPr="00283F25">
              <w:rPr>
                <w:rStyle w:val="Hyperlink"/>
                <w:b/>
                <w:bCs/>
                <w:noProof/>
              </w:rPr>
              <w:t>Case study 4 — Rural financial inclusion study, multi-market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_Toc239302380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:rsidR="00521A53" w:rsidRDefault="001F444F">
          <w:r>
            <w:fldChar w:fldCharType="end"/>
          </w:r>
        </w:p>
      </w:sdtContent>
    </w:sdt>
    <w:p w:rsidR="00521A53" w:rsidRDefault="001F444F">
      <w:r>
        <w:br w:type="page"/>
      </w:r>
    </w:p>
    <w:p w:rsidR="00521A53" w:rsidRDefault="00521A53">
      <w:pPr>
        <w:sectPr w:rsidR="00521A53">
          <w:pgSz w:w="11906" w:h="16838"/>
          <w:pgMar w:top="1000" w:right="1000" w:bottom="1000" w:left="1000" w:header="708" w:footer="708" w:gutter="0"/>
          <w:cols w:space="720"/>
          <w:docGrid w:linePitch="360"/>
        </w:sectPr>
      </w:pPr>
    </w:p>
    <w:p w:rsidR="00521A53" w:rsidRPr="00344EBC" w:rsidRDefault="001F444F">
      <w:pPr>
        <w:pStyle w:val="Heading1"/>
        <w:pBdr>
          <w:bottom w:val="single" w:sz="6" w:space="4" w:color="B08D57"/>
        </w:pBdr>
        <w:spacing w:before="400" w:after="200"/>
        <w:rPr>
          <w:sz w:val="24"/>
          <w:szCs w:val="24"/>
        </w:rPr>
      </w:pPr>
      <w:bookmarkStart w:id="1" w:name="_Toc239302360"/>
      <w:r w:rsidRPr="00344EBC">
        <w:rPr>
          <w:b/>
          <w:bCs/>
          <w:color w:val="1F3864"/>
          <w:sz w:val="24"/>
          <w:szCs w:val="24"/>
        </w:rPr>
        <w:t>1. Typical Incidence Rates (IR)</w:t>
      </w:r>
      <w:bookmarkEnd w:id="1"/>
    </w:p>
    <w:p w:rsidR="00521A53" w:rsidRPr="00344EBC" w:rsidRDefault="001F444F">
      <w:pPr>
        <w:spacing w:after="16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Incidence rate is the proportion of co</w:t>
      </w:r>
      <w:r w:rsidRPr="00344EBC">
        <w:rPr>
          <w:color w:val="262626"/>
          <w:sz w:val="24"/>
          <w:szCs w:val="24"/>
        </w:rPr>
        <w:t>ntacted respondents who qualify for a given study based on screening criteria. Figures below reflect typical ranges Malana Research Consult International observes across our African fieldwork, and are validated against the specific target audience, categor</w:t>
      </w:r>
      <w:r w:rsidRPr="00344EBC">
        <w:rPr>
          <w:color w:val="262626"/>
          <w:sz w:val="24"/>
          <w:szCs w:val="24"/>
        </w:rPr>
        <w:t>y, and screening complexity of each project we run.</w:t>
      </w:r>
    </w:p>
    <w:p w:rsidR="00521A53" w:rsidRPr="00344EBC" w:rsidRDefault="001F444F">
      <w:pPr>
        <w:pStyle w:val="Heading2"/>
        <w:spacing w:before="260" w:after="120"/>
        <w:rPr>
          <w:sz w:val="24"/>
          <w:szCs w:val="24"/>
        </w:rPr>
      </w:pPr>
      <w:bookmarkStart w:id="2" w:name="_Toc239302361"/>
      <w:r w:rsidRPr="00344EBC">
        <w:rPr>
          <w:b/>
          <w:bCs/>
          <w:color w:val="1F3864"/>
          <w:sz w:val="24"/>
          <w:szCs w:val="24"/>
        </w:rPr>
        <w:t>General population studies</w:t>
      </w:r>
      <w:bookmarkEnd w:id="2"/>
    </w:p>
    <w:tbl>
      <w:tblPr>
        <w:tblW w:w="99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61"/>
        <w:gridCol w:w="1981"/>
        <w:gridCol w:w="3764"/>
      </w:tblGrid>
      <w:tr w:rsidR="00521A53" w:rsidRPr="00344EB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161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jc w:val="center"/>
              <w:rPr>
                <w:sz w:val="24"/>
                <w:szCs w:val="24"/>
              </w:rPr>
            </w:pPr>
            <w:r w:rsidRPr="00344EBC">
              <w:rPr>
                <w:b/>
                <w:bCs/>
                <w:color w:val="FFFFFF"/>
                <w:sz w:val="24"/>
                <w:szCs w:val="24"/>
              </w:rPr>
              <w:t>Audience type</w:t>
            </w:r>
          </w:p>
        </w:tc>
        <w:tc>
          <w:tcPr>
            <w:tcW w:w="1981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jc w:val="center"/>
              <w:rPr>
                <w:sz w:val="24"/>
                <w:szCs w:val="24"/>
              </w:rPr>
            </w:pPr>
            <w:r w:rsidRPr="00344EBC">
              <w:rPr>
                <w:b/>
                <w:bCs/>
                <w:color w:val="FFFFFF"/>
                <w:sz w:val="24"/>
                <w:szCs w:val="24"/>
              </w:rPr>
              <w:t>Typical IR range</w:t>
            </w:r>
          </w:p>
        </w:tc>
        <w:tc>
          <w:tcPr>
            <w:tcW w:w="3764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jc w:val="center"/>
              <w:rPr>
                <w:sz w:val="24"/>
                <w:szCs w:val="24"/>
              </w:rPr>
            </w:pPr>
            <w:r w:rsidRPr="00344EBC">
              <w:rPr>
                <w:b/>
                <w:bCs/>
                <w:color w:val="FFFFFF"/>
                <w:sz w:val="24"/>
                <w:szCs w:val="24"/>
              </w:rPr>
              <w:t>Notes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41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Broad general population (gender/age quota only)</w:t>
            </w:r>
          </w:p>
        </w:tc>
        <w:tc>
          <w:tcPr>
            <w:tcW w:w="19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60% – 85%</w:t>
            </w:r>
          </w:p>
        </w:tc>
        <w:tc>
          <w:tcPr>
            <w:tcW w:w="37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Highest IR; minimal screening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4161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General population with category usage (e.g. mobile money users)</w:t>
            </w:r>
          </w:p>
        </w:tc>
        <w:tc>
          <w:tcPr>
            <w:tcW w:w="1981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35% – 60%</w:t>
            </w:r>
          </w:p>
        </w:tc>
        <w:tc>
          <w:tcPr>
            <w:tcW w:w="376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Varies by category penetration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41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Low-incidence category (e.g. imported car owners)</w:t>
            </w:r>
          </w:p>
        </w:tc>
        <w:tc>
          <w:tcPr>
            <w:tcW w:w="19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5% – 15%</w:t>
            </w:r>
          </w:p>
        </w:tc>
        <w:tc>
          <w:tcPr>
            <w:tcW w:w="37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Requires larger gross sample / longer field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4161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Niche/rare population (e.g. specific chronic condition)</w:t>
            </w:r>
          </w:p>
        </w:tc>
        <w:tc>
          <w:tcPr>
            <w:tcW w:w="1981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1% – 5%</w:t>
            </w:r>
          </w:p>
        </w:tc>
        <w:tc>
          <w:tcPr>
            <w:tcW w:w="376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Often needs panel + boosted recruitment</w:t>
            </w:r>
          </w:p>
        </w:tc>
      </w:tr>
    </w:tbl>
    <w:p w:rsidR="00521A53" w:rsidRPr="00344EBC" w:rsidRDefault="001F444F">
      <w:pPr>
        <w:pStyle w:val="Heading2"/>
        <w:spacing w:before="260" w:after="120"/>
        <w:rPr>
          <w:sz w:val="24"/>
          <w:szCs w:val="24"/>
        </w:rPr>
      </w:pPr>
      <w:bookmarkStart w:id="3" w:name="_Toc239302362"/>
      <w:r w:rsidRPr="00344EBC">
        <w:rPr>
          <w:b/>
          <w:bCs/>
          <w:color w:val="1F3864"/>
          <w:sz w:val="24"/>
          <w:szCs w:val="24"/>
        </w:rPr>
        <w:t>B2B and professional studies</w:t>
      </w:r>
      <w:bookmarkEnd w:id="3"/>
    </w:p>
    <w:tbl>
      <w:tblPr>
        <w:tblW w:w="99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61"/>
        <w:gridCol w:w="1981"/>
        <w:gridCol w:w="3764"/>
      </w:tblGrid>
      <w:tr w:rsidR="00521A53" w:rsidRPr="00344EB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161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jc w:val="center"/>
              <w:rPr>
                <w:sz w:val="24"/>
                <w:szCs w:val="24"/>
              </w:rPr>
            </w:pPr>
            <w:r w:rsidRPr="00344EBC">
              <w:rPr>
                <w:b/>
                <w:bCs/>
                <w:color w:val="FFFFFF"/>
                <w:sz w:val="24"/>
                <w:szCs w:val="24"/>
              </w:rPr>
              <w:t>Audience type</w:t>
            </w:r>
          </w:p>
        </w:tc>
        <w:tc>
          <w:tcPr>
            <w:tcW w:w="1981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jc w:val="center"/>
              <w:rPr>
                <w:sz w:val="24"/>
                <w:szCs w:val="24"/>
              </w:rPr>
            </w:pPr>
            <w:r w:rsidRPr="00344EBC">
              <w:rPr>
                <w:b/>
                <w:bCs/>
                <w:color w:val="FFFFFF"/>
                <w:sz w:val="24"/>
                <w:szCs w:val="24"/>
              </w:rPr>
              <w:t>Typical IR range</w:t>
            </w:r>
          </w:p>
        </w:tc>
        <w:tc>
          <w:tcPr>
            <w:tcW w:w="3764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jc w:val="center"/>
              <w:rPr>
                <w:sz w:val="24"/>
                <w:szCs w:val="24"/>
              </w:rPr>
            </w:pPr>
            <w:r w:rsidRPr="00344EBC">
              <w:rPr>
                <w:b/>
                <w:bCs/>
                <w:color w:val="FFFFFF"/>
                <w:sz w:val="24"/>
                <w:szCs w:val="24"/>
              </w:rPr>
              <w:t>Notes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41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SME decision-makers (general)</w:t>
            </w:r>
          </w:p>
        </w:tc>
        <w:tc>
          <w:tcPr>
            <w:tcW w:w="19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20% – 35%</w:t>
            </w:r>
          </w:p>
        </w:tc>
        <w:tc>
          <w:tcPr>
            <w:tcW w:w="37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Gatekeeper screening reduces IR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4161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Enterprise / C-suite decision-makers</w:t>
            </w:r>
          </w:p>
        </w:tc>
        <w:tc>
          <w:tcPr>
            <w:tcW w:w="1981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8% – 18%</w:t>
            </w:r>
          </w:p>
        </w:tc>
        <w:tc>
          <w:tcPr>
            <w:tcW w:w="376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Long recruitment lead time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41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IT / technical specifiers</w:t>
            </w:r>
          </w:p>
        </w:tc>
        <w:tc>
          <w:tcPr>
            <w:tcW w:w="19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10% – 20%</w:t>
            </w:r>
          </w:p>
        </w:tc>
        <w:tc>
          <w:tcPr>
            <w:tcW w:w="37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Best via professional panels or LinkedIn-sourced recruitment</w:t>
            </w:r>
          </w:p>
        </w:tc>
      </w:tr>
    </w:tbl>
    <w:p w:rsidR="00521A53" w:rsidRPr="00344EBC" w:rsidRDefault="001F444F">
      <w:pPr>
        <w:pStyle w:val="Heading2"/>
        <w:spacing w:before="260" w:after="120"/>
        <w:rPr>
          <w:sz w:val="24"/>
          <w:szCs w:val="24"/>
        </w:rPr>
      </w:pPr>
      <w:bookmarkStart w:id="4" w:name="_Toc239302363"/>
      <w:r w:rsidRPr="00344EBC">
        <w:rPr>
          <w:b/>
          <w:bCs/>
          <w:color w:val="1F3864"/>
          <w:sz w:val="24"/>
          <w:szCs w:val="24"/>
        </w:rPr>
        <w:t>Healthcare studies</w:t>
      </w:r>
      <w:bookmarkEnd w:id="4"/>
    </w:p>
    <w:tbl>
      <w:tblPr>
        <w:tblW w:w="99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61"/>
        <w:gridCol w:w="1981"/>
        <w:gridCol w:w="3764"/>
      </w:tblGrid>
      <w:tr w:rsidR="00521A53" w:rsidRPr="00344EB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161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jc w:val="center"/>
              <w:rPr>
                <w:sz w:val="24"/>
                <w:szCs w:val="24"/>
              </w:rPr>
            </w:pPr>
            <w:r w:rsidRPr="00344EBC">
              <w:rPr>
                <w:b/>
                <w:bCs/>
                <w:color w:val="FFFFFF"/>
                <w:sz w:val="24"/>
                <w:szCs w:val="24"/>
              </w:rPr>
              <w:t>Audience type</w:t>
            </w:r>
          </w:p>
        </w:tc>
        <w:tc>
          <w:tcPr>
            <w:tcW w:w="1981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jc w:val="center"/>
              <w:rPr>
                <w:sz w:val="24"/>
                <w:szCs w:val="24"/>
              </w:rPr>
            </w:pPr>
            <w:r w:rsidRPr="00344EBC">
              <w:rPr>
                <w:b/>
                <w:bCs/>
                <w:color w:val="FFFFFF"/>
                <w:sz w:val="24"/>
                <w:szCs w:val="24"/>
              </w:rPr>
              <w:t>Typical IR range</w:t>
            </w:r>
          </w:p>
        </w:tc>
        <w:tc>
          <w:tcPr>
            <w:tcW w:w="3764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jc w:val="center"/>
              <w:rPr>
                <w:sz w:val="24"/>
                <w:szCs w:val="24"/>
              </w:rPr>
            </w:pPr>
            <w:r w:rsidRPr="00344EBC">
              <w:rPr>
                <w:b/>
                <w:bCs/>
                <w:color w:val="FFFFFF"/>
                <w:sz w:val="24"/>
                <w:szCs w:val="24"/>
              </w:rPr>
              <w:t>Notes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41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General practitioners (GPs)</w:t>
            </w:r>
          </w:p>
        </w:tc>
        <w:tc>
          <w:tcPr>
            <w:tcW w:w="19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15% – 30%</w:t>
            </w:r>
          </w:p>
        </w:tc>
        <w:tc>
          <w:tcPr>
            <w:tcW w:w="37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Urban markets typically higher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4161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Specialists (e.g. cardiologists, oncologists)</w:t>
            </w:r>
          </w:p>
        </w:tc>
        <w:tc>
          <w:tcPr>
            <w:tcW w:w="1981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5% – 12%</w:t>
            </w:r>
          </w:p>
        </w:tc>
        <w:tc>
          <w:tcPr>
            <w:tcW w:w="376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Small universe; often census-style recruitment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41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Patients (common conditions, e.g. hypertension)</w:t>
            </w:r>
          </w:p>
        </w:tc>
        <w:tc>
          <w:tcPr>
            <w:tcW w:w="19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20% – 40%</w:t>
            </w:r>
          </w:p>
        </w:tc>
        <w:tc>
          <w:tcPr>
            <w:tcW w:w="37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Via clinics, panels, or patient associations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4161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Patients (rare/specialist conditions)</w:t>
            </w:r>
          </w:p>
        </w:tc>
        <w:tc>
          <w:tcPr>
            <w:tcW w:w="1981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1% – 5%</w:t>
            </w:r>
          </w:p>
        </w:tc>
        <w:tc>
          <w:tcPr>
            <w:tcW w:w="376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Requires clinician-mediated recruitment</w:t>
            </w:r>
          </w:p>
        </w:tc>
      </w:tr>
    </w:tbl>
    <w:p w:rsidR="00521A53" w:rsidRPr="00344EBC" w:rsidRDefault="001F444F">
      <w:pPr>
        <w:spacing w:after="200"/>
        <w:rPr>
          <w:sz w:val="24"/>
          <w:szCs w:val="24"/>
        </w:rPr>
      </w:pPr>
      <w:r w:rsidRPr="00344EBC">
        <w:rPr>
          <w:i/>
          <w:iCs/>
          <w:color w:val="595959"/>
          <w:sz w:val="24"/>
          <w:szCs w:val="24"/>
        </w:rPr>
        <w:t>Incidence rates are indicative. On any low-incidence or highly specialised study, we recommend a pilot / soft-launch (typically n=20–30 completes) before we finalise cost and timeline commitments.</w:t>
      </w:r>
    </w:p>
    <w:p w:rsidR="00521A53" w:rsidRPr="00344EBC" w:rsidRDefault="001F444F">
      <w:pPr>
        <w:pStyle w:val="Heading1"/>
        <w:pBdr>
          <w:bottom w:val="single" w:sz="6" w:space="4" w:color="B08D57"/>
        </w:pBdr>
        <w:spacing w:before="400" w:after="200"/>
        <w:rPr>
          <w:sz w:val="24"/>
          <w:szCs w:val="24"/>
        </w:rPr>
      </w:pPr>
      <w:bookmarkStart w:id="5" w:name="_Toc239302364"/>
      <w:r w:rsidRPr="00344EBC">
        <w:rPr>
          <w:b/>
          <w:bCs/>
          <w:color w:val="1F3864"/>
          <w:sz w:val="24"/>
          <w:szCs w:val="24"/>
        </w:rPr>
        <w:t>2. Average Turnaround Time</w:t>
      </w:r>
      <w:bookmarkEnd w:id="5"/>
    </w:p>
    <w:p w:rsidR="00521A53" w:rsidRPr="00344EBC" w:rsidRDefault="001F444F">
      <w:pPr>
        <w:spacing w:after="16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Turnaround depends on methodolog</w:t>
      </w:r>
      <w:r w:rsidRPr="00344EBC">
        <w:rPr>
          <w:color w:val="262626"/>
          <w:sz w:val="24"/>
          <w:szCs w:val="24"/>
        </w:rPr>
        <w:t>y, sample size, incidence rate, and market. These are the typical benchmarks Malana Research Consult International delivers against across our African fieldwork:</w:t>
      </w:r>
    </w:p>
    <w:tbl>
      <w:tblPr>
        <w:tblW w:w="99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64"/>
        <w:gridCol w:w="1981"/>
        <w:gridCol w:w="4161"/>
      </w:tblGrid>
      <w:tr w:rsidR="00521A53" w:rsidRPr="00344EB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764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jc w:val="center"/>
              <w:rPr>
                <w:sz w:val="24"/>
                <w:szCs w:val="24"/>
              </w:rPr>
            </w:pPr>
            <w:r w:rsidRPr="00344EBC">
              <w:rPr>
                <w:b/>
                <w:bCs/>
                <w:color w:val="FFFFFF"/>
                <w:sz w:val="24"/>
                <w:szCs w:val="24"/>
              </w:rPr>
              <w:t>Methodology</w:t>
            </w:r>
          </w:p>
        </w:tc>
        <w:tc>
          <w:tcPr>
            <w:tcW w:w="1981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jc w:val="center"/>
              <w:rPr>
                <w:sz w:val="24"/>
                <w:szCs w:val="24"/>
              </w:rPr>
            </w:pPr>
            <w:r w:rsidRPr="00344EBC">
              <w:rPr>
                <w:b/>
                <w:bCs/>
                <w:color w:val="FFFFFF"/>
                <w:sz w:val="24"/>
                <w:szCs w:val="24"/>
              </w:rPr>
              <w:t>Typical sample</w:t>
            </w:r>
          </w:p>
        </w:tc>
        <w:tc>
          <w:tcPr>
            <w:tcW w:w="4161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jc w:val="center"/>
              <w:rPr>
                <w:sz w:val="24"/>
                <w:szCs w:val="24"/>
              </w:rPr>
            </w:pPr>
            <w:r w:rsidRPr="00344EBC">
              <w:rPr>
                <w:b/>
                <w:bCs/>
                <w:color w:val="FFFFFF"/>
                <w:sz w:val="24"/>
                <w:szCs w:val="24"/>
              </w:rPr>
              <w:t>Average field turnaround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37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Online quantitative (CAWI, general population)</w:t>
            </w:r>
          </w:p>
        </w:tc>
        <w:tc>
          <w:tcPr>
            <w:tcW w:w="19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n=500–1,000</w:t>
            </w:r>
          </w:p>
        </w:tc>
        <w:tc>
          <w:tcPr>
            <w:tcW w:w="41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5 – 10 working days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376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CATI (telephone)</w:t>
            </w:r>
          </w:p>
        </w:tc>
        <w:tc>
          <w:tcPr>
            <w:tcW w:w="1981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n=500–1,000</w:t>
            </w:r>
          </w:p>
        </w:tc>
        <w:tc>
          <w:tcPr>
            <w:tcW w:w="4161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7 – 14 working days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37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Face-to-face (CAPI), urban</w:t>
            </w:r>
          </w:p>
        </w:tc>
        <w:tc>
          <w:tcPr>
            <w:tcW w:w="19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n=500–1,000</w:t>
            </w:r>
          </w:p>
        </w:tc>
        <w:tc>
          <w:tcPr>
            <w:tcW w:w="41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10 – 15 working days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376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Face-to-face (CAPI), rural/multi-region</w:t>
            </w:r>
          </w:p>
        </w:tc>
        <w:tc>
          <w:tcPr>
            <w:tcW w:w="1981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n=500–1,000</w:t>
            </w:r>
          </w:p>
        </w:tc>
        <w:tc>
          <w:tcPr>
            <w:tcW w:w="4161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15 – 25 working days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37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B2B / professional quant</w:t>
            </w:r>
          </w:p>
        </w:tc>
        <w:tc>
          <w:tcPr>
            <w:tcW w:w="19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n=150–300</w:t>
            </w:r>
          </w:p>
        </w:tc>
        <w:tc>
          <w:tcPr>
            <w:tcW w:w="41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15 – 25 working days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376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Healthcare (HCP) quant</w:t>
            </w:r>
          </w:p>
        </w:tc>
        <w:tc>
          <w:tcPr>
            <w:tcW w:w="1981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n=100–200</w:t>
            </w:r>
          </w:p>
        </w:tc>
        <w:tc>
          <w:tcPr>
            <w:tcW w:w="4161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15 – 30 working days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37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Qualitative (IDIs/focus groups), single market</w:t>
            </w:r>
          </w:p>
        </w:tc>
        <w:tc>
          <w:tcPr>
            <w:tcW w:w="19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8–12 sessions</w:t>
            </w:r>
          </w:p>
        </w:tc>
        <w:tc>
          <w:tcPr>
            <w:tcW w:w="416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10 – 15 working days incl. recruitment</w:t>
            </w:r>
          </w:p>
        </w:tc>
      </w:tr>
    </w:tbl>
    <w:p w:rsidR="00521A53" w:rsidRPr="00344EBC" w:rsidRDefault="001F444F">
      <w:pPr>
        <w:spacing w:after="200"/>
        <w:rPr>
          <w:sz w:val="24"/>
          <w:szCs w:val="24"/>
        </w:rPr>
      </w:pPr>
      <w:r w:rsidRPr="00344EBC">
        <w:rPr>
          <w:i/>
          <w:iCs/>
          <w:color w:val="595959"/>
          <w:sz w:val="24"/>
          <w:szCs w:val="24"/>
        </w:rPr>
        <w:t>Timelines exclude questionnaire scripting, translation, and client approval cycles. Multi-country studies typically add 3–5 working days for coordination and our centralised quality checks.</w:t>
      </w:r>
    </w:p>
    <w:p w:rsidR="00521A53" w:rsidRPr="00344EBC" w:rsidRDefault="001F444F">
      <w:pPr>
        <w:pStyle w:val="Heading1"/>
        <w:pBdr>
          <w:bottom w:val="single" w:sz="6" w:space="4" w:color="B08D57"/>
        </w:pBdr>
        <w:spacing w:before="400" w:after="200"/>
        <w:rPr>
          <w:sz w:val="24"/>
          <w:szCs w:val="24"/>
        </w:rPr>
      </w:pPr>
      <w:bookmarkStart w:id="6" w:name="_Toc239302365"/>
      <w:r w:rsidRPr="00344EBC">
        <w:rPr>
          <w:b/>
          <w:bCs/>
          <w:color w:val="1F3864"/>
          <w:sz w:val="24"/>
          <w:szCs w:val="24"/>
        </w:rPr>
        <w:t>3. Minimum Viable Sample</w:t>
      </w:r>
      <w:bookmarkEnd w:id="6"/>
    </w:p>
    <w:p w:rsidR="00521A53" w:rsidRPr="00344EBC" w:rsidRDefault="001F444F">
      <w:pPr>
        <w:spacing w:after="16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We set minimum samples to preserve statis</w:t>
      </w:r>
      <w:r w:rsidRPr="00344EBC">
        <w:rPr>
          <w:color w:val="262626"/>
          <w:sz w:val="24"/>
          <w:szCs w:val="24"/>
        </w:rPr>
        <w:t>tical reliability while remaining commercially and operationally feasible for our clients:</w:t>
      </w:r>
    </w:p>
    <w:tbl>
      <w:tblPr>
        <w:tblW w:w="99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8"/>
        <w:gridCol w:w="4458"/>
      </w:tblGrid>
      <w:tr w:rsidR="00521A53" w:rsidRPr="00344EB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448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jc w:val="center"/>
              <w:rPr>
                <w:sz w:val="24"/>
                <w:szCs w:val="24"/>
              </w:rPr>
            </w:pPr>
            <w:r w:rsidRPr="00344EBC">
              <w:rPr>
                <w:b/>
                <w:bCs/>
                <w:color w:val="FFFFFF"/>
                <w:sz w:val="24"/>
                <w:szCs w:val="24"/>
              </w:rPr>
              <w:t>Study type</w:t>
            </w:r>
          </w:p>
        </w:tc>
        <w:tc>
          <w:tcPr>
            <w:tcW w:w="4458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jc w:val="center"/>
              <w:rPr>
                <w:sz w:val="24"/>
                <w:szCs w:val="24"/>
              </w:rPr>
            </w:pPr>
            <w:r w:rsidRPr="00344EBC">
              <w:rPr>
                <w:b/>
                <w:bCs/>
                <w:color w:val="FFFFFF"/>
                <w:sz w:val="24"/>
                <w:szCs w:val="24"/>
              </w:rPr>
              <w:t>Recommended minimum (per market/cell)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54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Quantitative general population, national estimates</w:t>
            </w:r>
          </w:p>
        </w:tc>
        <w:tc>
          <w:tcPr>
            <w:tcW w:w="445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n=400 (≈±4.9% margin of error at 95% CI)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5448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Quantitative, sub-group/segment analysis</w:t>
            </w:r>
          </w:p>
        </w:tc>
        <w:tc>
          <w:tcPr>
            <w:tcW w:w="4458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n=100–150 per key sub-group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54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B2B quantitative</w:t>
            </w:r>
          </w:p>
        </w:tc>
        <w:tc>
          <w:tcPr>
            <w:tcW w:w="445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n=100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5448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Healthcare (HCP)</w:t>
            </w:r>
          </w:p>
        </w:tc>
        <w:tc>
          <w:tcPr>
            <w:tcW w:w="4458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n=50–80 per specialty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54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Qualitative, per audience segment</w:t>
            </w:r>
          </w:p>
        </w:tc>
        <w:tc>
          <w:tcPr>
            <w:tcW w:w="445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6–8 IDIs or 2 focus groups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5448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U&amp;A / tracking studies (per wave)</w:t>
            </w:r>
          </w:p>
        </w:tc>
        <w:tc>
          <w:tcPr>
            <w:tcW w:w="4458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n=300–500</w:t>
            </w:r>
          </w:p>
        </w:tc>
      </w:tr>
    </w:tbl>
    <w:p w:rsidR="00521A53" w:rsidRPr="00344EBC" w:rsidRDefault="001F444F">
      <w:pPr>
        <w:spacing w:after="200"/>
        <w:rPr>
          <w:sz w:val="24"/>
          <w:szCs w:val="24"/>
        </w:rPr>
      </w:pPr>
      <w:r w:rsidRPr="00344EBC">
        <w:rPr>
          <w:i/>
          <w:iCs/>
          <w:color w:val="595959"/>
          <w:sz w:val="24"/>
          <w:szCs w:val="24"/>
        </w:rPr>
        <w:t>Below these thresholds, we advise clients to treat results as directional/qualitative rather than statistically projectable.</w:t>
      </w:r>
    </w:p>
    <w:p w:rsidR="00521A53" w:rsidRPr="00344EBC" w:rsidRDefault="001F444F">
      <w:pPr>
        <w:pStyle w:val="Heading1"/>
        <w:pBdr>
          <w:bottom w:val="single" w:sz="6" w:space="4" w:color="B08D57"/>
        </w:pBdr>
        <w:spacing w:before="400" w:after="200"/>
        <w:rPr>
          <w:sz w:val="24"/>
          <w:szCs w:val="24"/>
        </w:rPr>
      </w:pPr>
      <w:bookmarkStart w:id="7" w:name="_Toc239302366"/>
      <w:r w:rsidRPr="00344EBC">
        <w:rPr>
          <w:b/>
          <w:bCs/>
          <w:color w:val="1F3864"/>
          <w:sz w:val="24"/>
          <w:szCs w:val="24"/>
        </w:rPr>
        <w:t>4. Maximum Feasible Sample</w:t>
      </w:r>
      <w:bookmarkEnd w:id="7"/>
    </w:p>
    <w:p w:rsidR="00521A53" w:rsidRPr="00344EBC" w:rsidRDefault="001F444F">
      <w:pPr>
        <w:spacing w:after="16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Maximum achievable sample sizes depend on our panel/database depth, field team capacity, and the availab</w:t>
      </w:r>
      <w:r w:rsidRPr="00344EBC">
        <w:rPr>
          <w:color w:val="262626"/>
          <w:sz w:val="24"/>
          <w:szCs w:val="24"/>
        </w:rPr>
        <w:t>le fieldwork window. Indicative ceilings within a standard 4–6 week field period:</w:t>
      </w:r>
    </w:p>
    <w:tbl>
      <w:tblPr>
        <w:tblW w:w="99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3467"/>
        <w:gridCol w:w="3467"/>
      </w:tblGrid>
      <w:tr w:rsidR="00521A53" w:rsidRPr="00344EB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72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jc w:val="center"/>
              <w:rPr>
                <w:sz w:val="24"/>
                <w:szCs w:val="24"/>
              </w:rPr>
            </w:pPr>
            <w:r w:rsidRPr="00344EBC">
              <w:rPr>
                <w:b/>
                <w:bCs/>
                <w:color w:val="FFFFFF"/>
                <w:sz w:val="24"/>
                <w:szCs w:val="24"/>
              </w:rPr>
              <w:t>Methodology</w:t>
            </w:r>
          </w:p>
        </w:tc>
        <w:tc>
          <w:tcPr>
            <w:tcW w:w="3467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jc w:val="center"/>
              <w:rPr>
                <w:sz w:val="24"/>
                <w:szCs w:val="24"/>
              </w:rPr>
            </w:pPr>
            <w:r w:rsidRPr="00344EBC">
              <w:rPr>
                <w:b/>
                <w:bCs/>
                <w:color w:val="FFFFFF"/>
                <w:sz w:val="24"/>
                <w:szCs w:val="24"/>
              </w:rPr>
              <w:t>Single market ceiling</w:t>
            </w:r>
          </w:p>
        </w:tc>
        <w:tc>
          <w:tcPr>
            <w:tcW w:w="3467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jc w:val="center"/>
              <w:rPr>
                <w:sz w:val="24"/>
                <w:szCs w:val="24"/>
              </w:rPr>
            </w:pPr>
            <w:r w:rsidRPr="00344EBC">
              <w:rPr>
                <w:b/>
                <w:bCs/>
                <w:color w:val="FFFFFF"/>
                <w:sz w:val="24"/>
                <w:szCs w:val="24"/>
              </w:rPr>
              <w:t>Pan-African (10+ markets) ceiling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29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Online (CAWI)</w:t>
            </w:r>
          </w:p>
        </w:tc>
        <w:tc>
          <w:tcPr>
            <w:tcW w:w="34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5,000 – 10,000+</w:t>
            </w:r>
          </w:p>
        </w:tc>
        <w:tc>
          <w:tcPr>
            <w:tcW w:w="34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30,000 – 50,000+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2972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CATI</w:t>
            </w:r>
          </w:p>
        </w:tc>
        <w:tc>
          <w:tcPr>
            <w:tcW w:w="3467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2,000 – 4,000</w:t>
            </w:r>
          </w:p>
        </w:tc>
        <w:tc>
          <w:tcPr>
            <w:tcW w:w="3467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15,000 – 25,000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29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Face-to-face (CAPI)</w:t>
            </w:r>
          </w:p>
        </w:tc>
        <w:tc>
          <w:tcPr>
            <w:tcW w:w="34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2,000 – 3,000</w:t>
            </w:r>
          </w:p>
        </w:tc>
        <w:tc>
          <w:tcPr>
            <w:tcW w:w="34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10,000 – 15,000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2972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B2B</w:t>
            </w:r>
          </w:p>
        </w:tc>
        <w:tc>
          <w:tcPr>
            <w:tcW w:w="3467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500 – 800</w:t>
            </w:r>
          </w:p>
        </w:tc>
        <w:tc>
          <w:tcPr>
            <w:tcW w:w="3467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3,000 – 5,000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29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Healthcare (HCP)</w:t>
            </w:r>
          </w:p>
        </w:tc>
        <w:tc>
          <w:tcPr>
            <w:tcW w:w="34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300 – 500</w:t>
            </w:r>
          </w:p>
        </w:tc>
        <w:tc>
          <w:tcPr>
            <w:tcW w:w="3467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1,500 – 2,500</w:t>
            </w:r>
          </w:p>
        </w:tc>
      </w:tr>
    </w:tbl>
    <w:p w:rsidR="00521A53" w:rsidRPr="00344EBC" w:rsidRDefault="001F444F">
      <w:pPr>
        <w:spacing w:after="200"/>
        <w:rPr>
          <w:sz w:val="24"/>
          <w:szCs w:val="24"/>
        </w:rPr>
      </w:pPr>
      <w:r w:rsidRPr="00344EBC">
        <w:rPr>
          <w:i/>
          <w:iCs/>
          <w:color w:val="595959"/>
          <w:sz w:val="24"/>
          <w:szCs w:val="24"/>
        </w:rPr>
        <w:t>Larger samples are achievable with extended field time, multi-vendor panel blending, or a phased/rolling fieldwork approach. We run bespoke feasibility checks for any study above these ceilings.</w:t>
      </w:r>
    </w:p>
    <w:p w:rsidR="00521A53" w:rsidRPr="00344EBC" w:rsidRDefault="001F444F">
      <w:pPr>
        <w:pStyle w:val="Heading1"/>
        <w:pBdr>
          <w:bottom w:val="single" w:sz="6" w:space="4" w:color="B08D57"/>
        </w:pBdr>
        <w:spacing w:before="400" w:after="200"/>
        <w:rPr>
          <w:sz w:val="24"/>
          <w:szCs w:val="24"/>
        </w:rPr>
      </w:pPr>
      <w:bookmarkStart w:id="8" w:name="_Toc239302367"/>
      <w:r w:rsidRPr="00344EBC">
        <w:rPr>
          <w:b/>
          <w:bCs/>
          <w:color w:val="1F3864"/>
          <w:sz w:val="24"/>
          <w:szCs w:val="24"/>
        </w:rPr>
        <w:t>5. B2B Capabilities</w:t>
      </w:r>
      <w:bookmarkEnd w:id="8"/>
    </w:p>
    <w:p w:rsidR="00521A53" w:rsidRPr="00344EBC" w:rsidRDefault="001F444F">
      <w:pPr>
        <w:spacing w:after="16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Malana Research Consult International del</w:t>
      </w:r>
      <w:r w:rsidRPr="00344EBC">
        <w:rPr>
          <w:color w:val="262626"/>
          <w:sz w:val="24"/>
          <w:szCs w:val="24"/>
        </w:rPr>
        <w:t>ivers B2B fieldwork across Africa through a blend of business panels, LinkedIn-sourced recruitment, CATI using verified business databases, and our in-market field recruiters for harder-to-reach decision-makers.</w:t>
      </w:r>
    </w:p>
    <w:p w:rsidR="00521A53" w:rsidRPr="00344EBC" w:rsidRDefault="001F444F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 xml:space="preserve">Coverage of SME through enterprise segments </w:t>
      </w:r>
      <w:r w:rsidRPr="00344EBC">
        <w:rPr>
          <w:color w:val="262626"/>
          <w:sz w:val="24"/>
          <w:szCs w:val="24"/>
        </w:rPr>
        <w:t>across finance, telecoms, manufacturing, agriculture, retail, and public sector.</w:t>
      </w:r>
    </w:p>
    <w:p w:rsidR="00521A53" w:rsidRPr="00344EBC" w:rsidRDefault="001F444F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Screening by role/seniority, company size, industry (ISIC/SIC-aligned), and purchase/decision authority.</w:t>
      </w:r>
    </w:p>
    <w:p w:rsidR="00521A53" w:rsidRPr="00344EBC" w:rsidRDefault="001F444F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 xml:space="preserve">Executive interviewing (C-suite, IT directors, procurement heads) via </w:t>
      </w:r>
      <w:r w:rsidRPr="00344EBC">
        <w:rPr>
          <w:color w:val="262626"/>
          <w:sz w:val="24"/>
          <w:szCs w:val="24"/>
        </w:rPr>
        <w:t>our dedicated business recruiters and incentivised outreach.</w:t>
      </w:r>
    </w:p>
    <w:p w:rsidR="00521A53" w:rsidRPr="00344EBC" w:rsidRDefault="001F444F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Support for both quantitative (online/CATI) and qualitative (in-depth interviews, expert panels) B2B designs.</w:t>
      </w:r>
    </w:p>
    <w:p w:rsidR="00521A53" w:rsidRPr="00344EBC" w:rsidRDefault="001F444F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Database refresh and validation prior to fielding to reduce invalid contacts and impr</w:t>
      </w:r>
      <w:r w:rsidRPr="00344EBC">
        <w:rPr>
          <w:color w:val="262626"/>
          <w:sz w:val="24"/>
          <w:szCs w:val="24"/>
        </w:rPr>
        <w:t>ove response rates.</w:t>
      </w:r>
    </w:p>
    <w:p w:rsidR="00521A53" w:rsidRPr="00344EBC" w:rsidRDefault="001F444F">
      <w:pPr>
        <w:pStyle w:val="Heading1"/>
        <w:pBdr>
          <w:bottom w:val="single" w:sz="6" w:space="4" w:color="B08D57"/>
        </w:pBdr>
        <w:spacing w:before="400" w:after="200"/>
        <w:rPr>
          <w:sz w:val="24"/>
          <w:szCs w:val="24"/>
        </w:rPr>
      </w:pPr>
      <w:bookmarkStart w:id="9" w:name="_Toc239302368"/>
      <w:r w:rsidRPr="00344EBC">
        <w:rPr>
          <w:b/>
          <w:bCs/>
          <w:color w:val="1F3864"/>
          <w:sz w:val="24"/>
          <w:szCs w:val="24"/>
        </w:rPr>
        <w:t>6. Healthcare Capabilities</w:t>
      </w:r>
      <w:bookmarkEnd w:id="9"/>
    </w:p>
    <w:p w:rsidR="00521A53" w:rsidRPr="00344EBC" w:rsidRDefault="001F444F">
      <w:pPr>
        <w:spacing w:after="16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We conduct healthcare research in compliance with local medical research and data protection regulations, using our vetted HCP panels, hospital/clinic partnerships, and patient association networks.</w:t>
      </w:r>
    </w:p>
    <w:p w:rsidR="00521A53" w:rsidRPr="00344EBC" w:rsidRDefault="001F444F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HCP coverage: GPs, specialists, nurses, pharmacists, and allied health professionals.</w:t>
      </w:r>
    </w:p>
    <w:p w:rsidR="00521A53" w:rsidRPr="00344EBC" w:rsidRDefault="001F444F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Patient research via clinic intercepts, patient panels, and condition-specific associations/NGOs.</w:t>
      </w:r>
    </w:p>
    <w:p w:rsidR="00521A53" w:rsidRPr="00344EBC" w:rsidRDefault="001F444F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Support for chart audits, patient record reviews (where locally permitte</w:t>
      </w:r>
      <w:r w:rsidRPr="00344EBC">
        <w:rPr>
          <w:color w:val="262626"/>
          <w:sz w:val="24"/>
          <w:szCs w:val="24"/>
        </w:rPr>
        <w:t>d and consented), and diary/longitudinal studies.</w:t>
      </w:r>
    </w:p>
    <w:p w:rsidR="00521A53" w:rsidRPr="00344EBC" w:rsidRDefault="001F444F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Medical/clinical questionnaire review available prior to fieldwork to ensure terminology accuracy per market.</w:t>
      </w:r>
    </w:p>
    <w:p w:rsidR="00521A53" w:rsidRPr="00344EBC" w:rsidRDefault="001F444F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Ethics and regulatory awareness for markets requiring local health-research approvals (e.g. Sout</w:t>
      </w:r>
      <w:r w:rsidRPr="00344EBC">
        <w:rPr>
          <w:color w:val="262626"/>
          <w:sz w:val="24"/>
          <w:szCs w:val="24"/>
        </w:rPr>
        <w:t>h Africa, Kenya, Nigeria).</w:t>
      </w:r>
    </w:p>
    <w:p w:rsidR="00521A53" w:rsidRPr="00344EBC" w:rsidRDefault="001F444F">
      <w:pPr>
        <w:spacing w:after="200"/>
        <w:rPr>
          <w:sz w:val="24"/>
          <w:szCs w:val="24"/>
        </w:rPr>
      </w:pPr>
      <w:r w:rsidRPr="00344EBC">
        <w:rPr>
          <w:i/>
          <w:iCs/>
          <w:color w:val="595959"/>
          <w:sz w:val="24"/>
          <w:szCs w:val="24"/>
        </w:rPr>
        <w:t>Where a study touches prescription behaviour, patient records, or clinical trial-adjacent topics, we recommend local regulatory review before fieldwork begins.</w:t>
      </w:r>
    </w:p>
    <w:p w:rsidR="00521A53" w:rsidRPr="00344EBC" w:rsidRDefault="001F444F">
      <w:pPr>
        <w:pStyle w:val="Heading1"/>
        <w:pBdr>
          <w:bottom w:val="single" w:sz="6" w:space="4" w:color="B08D57"/>
        </w:pBdr>
        <w:spacing w:before="400" w:after="200"/>
        <w:rPr>
          <w:sz w:val="24"/>
          <w:szCs w:val="24"/>
        </w:rPr>
      </w:pPr>
      <w:bookmarkStart w:id="10" w:name="_Toc239302369"/>
      <w:r w:rsidRPr="00344EBC">
        <w:rPr>
          <w:b/>
          <w:bCs/>
          <w:color w:val="1F3864"/>
          <w:sz w:val="24"/>
          <w:szCs w:val="24"/>
        </w:rPr>
        <w:t>7. Professional Respondent Recruitment</w:t>
      </w:r>
      <w:bookmarkEnd w:id="10"/>
    </w:p>
    <w:p w:rsidR="00521A53" w:rsidRPr="00344EBC" w:rsidRDefault="001F444F">
      <w:pPr>
        <w:spacing w:after="16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We recruit hard-to-reach and p</w:t>
      </w:r>
      <w:r w:rsidRPr="00344EBC">
        <w:rPr>
          <w:color w:val="262626"/>
          <w:sz w:val="24"/>
          <w:szCs w:val="24"/>
        </w:rPr>
        <w:t>rofessional audiences (executives, specialists, government officials, high-net-worth individuals) through a combination of methods rather than open panel access alone:</w:t>
      </w:r>
    </w:p>
    <w:p w:rsidR="00521A53" w:rsidRPr="00344EBC" w:rsidRDefault="001F444F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Our verified B2B and professional panels, refreshed and profiled by role and industry.</w:t>
      </w:r>
    </w:p>
    <w:p w:rsidR="00521A53" w:rsidRPr="00344EBC" w:rsidRDefault="001F444F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Social/professional network sourcing (e.g. LinkedIn) with manual verification of role and credentials.</w:t>
      </w:r>
    </w:p>
    <w:p w:rsidR="00521A53" w:rsidRPr="00344EBC" w:rsidRDefault="001F444F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Field-based executive recruiters and gatekeeper liaison for face-to-face or phone appointments.</w:t>
      </w:r>
    </w:p>
    <w:p w:rsidR="00521A53" w:rsidRPr="00344EBC" w:rsidRDefault="001F444F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Snowball and referral recruitment for niche specialist po</w:t>
      </w:r>
      <w:r w:rsidRPr="00344EBC">
        <w:rPr>
          <w:color w:val="262626"/>
          <w:sz w:val="24"/>
          <w:szCs w:val="24"/>
        </w:rPr>
        <w:t>pulations.</w:t>
      </w:r>
    </w:p>
    <w:p w:rsidR="00521A53" w:rsidRPr="00344EBC" w:rsidRDefault="001F444F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Association and industry-body partnerships for professions with formal membership bodies (medical councils, engineering bodies, bar associations).</w:t>
      </w:r>
    </w:p>
    <w:p w:rsidR="00521A53" w:rsidRPr="00344EBC" w:rsidRDefault="001F444F" w:rsidP="00344EBC">
      <w:pPr>
        <w:pStyle w:val="Heading1"/>
        <w:pBdr>
          <w:bottom w:val="single" w:sz="6" w:space="4" w:color="B08D57"/>
        </w:pBdr>
        <w:tabs>
          <w:tab w:val="left" w:pos="8900"/>
        </w:tabs>
        <w:spacing w:before="400" w:after="200"/>
        <w:rPr>
          <w:sz w:val="24"/>
          <w:szCs w:val="24"/>
        </w:rPr>
      </w:pPr>
      <w:bookmarkStart w:id="11" w:name="_Toc239302370"/>
      <w:r w:rsidRPr="00344EBC">
        <w:rPr>
          <w:b/>
          <w:bCs/>
          <w:color w:val="1F3864"/>
          <w:sz w:val="24"/>
          <w:szCs w:val="24"/>
        </w:rPr>
        <w:t>8. Rural / Urban Coverage</w:t>
      </w:r>
      <w:bookmarkEnd w:id="11"/>
      <w:r w:rsidR="00344EBC">
        <w:rPr>
          <w:b/>
          <w:bCs/>
          <w:color w:val="1F3864"/>
          <w:sz w:val="24"/>
          <w:szCs w:val="24"/>
        </w:rPr>
        <w:tab/>
      </w:r>
      <w:bookmarkStart w:id="12" w:name="_GoBack"/>
      <w:bookmarkEnd w:id="12"/>
    </w:p>
    <w:p w:rsidR="00521A53" w:rsidRPr="00344EBC" w:rsidRDefault="001F444F">
      <w:pPr>
        <w:spacing w:after="16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Our fieldwork infrastructure spans major metros through to peri-urban an</w:t>
      </w:r>
      <w:r w:rsidRPr="00344EBC">
        <w:rPr>
          <w:color w:val="262626"/>
          <w:sz w:val="24"/>
          <w:szCs w:val="24"/>
        </w:rPr>
        <w:t>d rural areas, with coverage depth varying by market maturity.</w:t>
      </w:r>
    </w:p>
    <w:tbl>
      <w:tblPr>
        <w:tblW w:w="99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58"/>
        <w:gridCol w:w="5448"/>
      </w:tblGrid>
      <w:tr w:rsidR="00521A53" w:rsidRPr="00344EB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458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jc w:val="center"/>
              <w:rPr>
                <w:sz w:val="24"/>
                <w:szCs w:val="24"/>
              </w:rPr>
            </w:pPr>
            <w:r w:rsidRPr="00344EBC">
              <w:rPr>
                <w:b/>
                <w:bCs/>
                <w:color w:val="FFFFFF"/>
                <w:sz w:val="24"/>
                <w:szCs w:val="24"/>
              </w:rPr>
              <w:t>Coverage tier</w:t>
            </w:r>
          </w:p>
        </w:tc>
        <w:tc>
          <w:tcPr>
            <w:tcW w:w="5448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jc w:val="center"/>
              <w:rPr>
                <w:sz w:val="24"/>
                <w:szCs w:val="24"/>
              </w:rPr>
            </w:pPr>
            <w:r w:rsidRPr="00344EBC">
              <w:rPr>
                <w:b/>
                <w:bCs/>
                <w:color w:val="FFFFFF"/>
                <w:sz w:val="24"/>
                <w:szCs w:val="24"/>
              </w:rPr>
              <w:t>Typical reach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445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Tier 1 metros (e.g. Johannesburg, Lagos, Nairobi, Cairo, Accra, Casablanca)</w:t>
            </w:r>
          </w:p>
        </w:tc>
        <w:tc>
          <w:tcPr>
            <w:tcW w:w="54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Full CAWI, CATI, and CAPI coverage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4458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Tier 2 cities and regional urban centres</w:t>
            </w:r>
          </w:p>
        </w:tc>
        <w:tc>
          <w:tcPr>
            <w:tcW w:w="5448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Full CATI/CAPI coverage; online sample generally sufficient for CAWI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445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Peri-urban and rural areas</w:t>
            </w:r>
          </w:p>
        </w:tc>
        <w:tc>
          <w:tcPr>
            <w:tcW w:w="544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CAPI via in-country field teams; CATI where mobile penetration allows; online sample limited by connectivity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4458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Remote/hard-to-reach rural regions</w:t>
            </w:r>
          </w:p>
        </w:tc>
        <w:tc>
          <w:tcPr>
            <w:tcW w:w="5448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Feasible via extended field timelines and dedicated field teams; case-by-case feasibility check recommended</w:t>
            </w:r>
          </w:p>
        </w:tc>
      </w:tr>
    </w:tbl>
    <w:p w:rsidR="00521A53" w:rsidRPr="00344EBC" w:rsidRDefault="001F444F">
      <w:pPr>
        <w:spacing w:after="200"/>
        <w:rPr>
          <w:sz w:val="24"/>
          <w:szCs w:val="24"/>
        </w:rPr>
      </w:pPr>
      <w:r w:rsidRPr="00344EBC">
        <w:rPr>
          <w:i/>
          <w:iCs/>
          <w:color w:val="595959"/>
          <w:sz w:val="24"/>
          <w:szCs w:val="24"/>
        </w:rPr>
        <w:t>We increasingly use mobile-first CAWI (via SMS/USSD-to-web links) to extend reach into rural areas with lower fixed internet penetration but reasonable mobile data coverage.</w:t>
      </w:r>
    </w:p>
    <w:p w:rsidR="00521A53" w:rsidRPr="00344EBC" w:rsidRDefault="001F444F">
      <w:pPr>
        <w:pStyle w:val="Heading1"/>
        <w:pBdr>
          <w:bottom w:val="single" w:sz="6" w:space="4" w:color="B08D57"/>
        </w:pBdr>
        <w:spacing w:before="400" w:after="200"/>
        <w:rPr>
          <w:sz w:val="24"/>
          <w:szCs w:val="24"/>
        </w:rPr>
      </w:pPr>
      <w:bookmarkStart w:id="13" w:name="_Toc239302371"/>
      <w:r w:rsidRPr="00344EBC">
        <w:rPr>
          <w:b/>
          <w:bCs/>
          <w:color w:val="1F3864"/>
          <w:sz w:val="24"/>
          <w:szCs w:val="24"/>
        </w:rPr>
        <w:t>9. Quality Controls</w:t>
      </w:r>
      <w:bookmarkEnd w:id="13"/>
    </w:p>
    <w:p w:rsidR="00521A53" w:rsidRPr="00344EBC" w:rsidRDefault="001F444F">
      <w:pPr>
        <w:spacing w:after="16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Malana Research Consult International applies quality assuranc</w:t>
      </w:r>
      <w:r w:rsidRPr="00344EBC">
        <w:rPr>
          <w:color w:val="262626"/>
          <w:sz w:val="24"/>
          <w:szCs w:val="24"/>
        </w:rPr>
        <w:t>e at every stage of fieldwork, from recruitment through to final data delivery:</w:t>
      </w:r>
    </w:p>
    <w:p w:rsidR="00521A53" w:rsidRPr="00344EBC" w:rsidRDefault="001F444F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Interviewer training and certification specific to each project, including live briefings for our CAPI/CATI teams.</w:t>
      </w:r>
    </w:p>
    <w:p w:rsidR="00521A53" w:rsidRPr="00344EBC" w:rsidRDefault="001F444F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Back-checks: minimum 10–20% of face-to-face interviews re-con</w:t>
      </w:r>
      <w:r w:rsidRPr="00344EBC">
        <w:rPr>
          <w:color w:val="262626"/>
          <w:sz w:val="24"/>
          <w:szCs w:val="24"/>
        </w:rPr>
        <w:t>tacted or accompanied for validation.</w:t>
      </w:r>
    </w:p>
    <w:p w:rsidR="00521A53" w:rsidRPr="00344EBC" w:rsidRDefault="001F444F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Real-time CAPI/CATI monitoring dashboards tracking completion rates, straight-lining, and speeding.</w:t>
      </w:r>
    </w:p>
    <w:p w:rsidR="00521A53" w:rsidRPr="00344EBC" w:rsidRDefault="001F444F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Open-end response review for coherence and relevance before data is passed to coding/analysis.</w:t>
      </w:r>
    </w:p>
    <w:p w:rsidR="00521A53" w:rsidRPr="00344EBC" w:rsidRDefault="001F444F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Data cleaning protocols</w:t>
      </w:r>
      <w:r w:rsidRPr="00344EBC">
        <w:rPr>
          <w:color w:val="262626"/>
          <w:sz w:val="24"/>
          <w:szCs w:val="24"/>
        </w:rPr>
        <w:t>: logic checks, range checks, and consistency checks applied pre-delivery.</w:t>
      </w:r>
    </w:p>
    <w:p w:rsidR="00521A53" w:rsidRPr="00344EBC" w:rsidRDefault="001F444F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Supervisor field spot-checks and GPS-stamped interview locations for CAPI studies (where consented).</w:t>
      </w:r>
    </w:p>
    <w:p w:rsidR="00521A53" w:rsidRPr="00344EBC" w:rsidRDefault="001F444F">
      <w:pPr>
        <w:pStyle w:val="Heading1"/>
        <w:pBdr>
          <w:bottom w:val="single" w:sz="6" w:space="4" w:color="B08D57"/>
        </w:pBdr>
        <w:spacing w:before="400" w:after="200"/>
        <w:rPr>
          <w:sz w:val="24"/>
          <w:szCs w:val="24"/>
        </w:rPr>
      </w:pPr>
      <w:bookmarkStart w:id="14" w:name="_Toc239302372"/>
      <w:r w:rsidRPr="00344EBC">
        <w:rPr>
          <w:b/>
          <w:bCs/>
          <w:color w:val="1F3864"/>
          <w:sz w:val="24"/>
          <w:szCs w:val="24"/>
        </w:rPr>
        <w:t>10. Fraud Prevention</w:t>
      </w:r>
      <w:bookmarkEnd w:id="14"/>
    </w:p>
    <w:p w:rsidR="00521A53" w:rsidRPr="00344EBC" w:rsidRDefault="001F444F">
      <w:pPr>
        <w:spacing w:after="16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Our fraud and low-quality response prevention combines tech</w:t>
      </w:r>
      <w:r w:rsidRPr="00344EBC">
        <w:rPr>
          <w:color w:val="262626"/>
          <w:sz w:val="24"/>
          <w:szCs w:val="24"/>
        </w:rPr>
        <w:t>nical and human checks:</w:t>
      </w:r>
    </w:p>
    <w:p w:rsidR="00521A53" w:rsidRPr="00344EBC" w:rsidRDefault="001F444F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Digital fingerprinting, IP/geo-validation, and duplicate device detection for online surveys.</w:t>
      </w:r>
    </w:p>
    <w:p w:rsidR="00521A53" w:rsidRPr="00344EBC" w:rsidRDefault="001F444F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Speeding and straight-lining flags with automatic termination or flagging for review.</w:t>
      </w:r>
    </w:p>
    <w:p w:rsidR="00521A53" w:rsidRPr="00344EBC" w:rsidRDefault="001F444F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Red-herring and attention-check questions embedded in longer questionnaires.</w:t>
      </w:r>
    </w:p>
    <w:p w:rsidR="00521A53" w:rsidRPr="00344EBC" w:rsidRDefault="001F444F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Open-end text analysis to detect implausible, copy-pasted, or AI-generated responses.</w:t>
      </w:r>
    </w:p>
    <w:p w:rsidR="00521A53" w:rsidRPr="00344EBC" w:rsidRDefault="001F444F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Panel-level fraud databases shared across suppliers to blacklist known bad actors.</w:t>
      </w:r>
    </w:p>
    <w:p w:rsidR="00521A53" w:rsidRPr="00344EBC" w:rsidRDefault="001F444F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Voice reco</w:t>
      </w:r>
      <w:r w:rsidRPr="00344EBC">
        <w:rPr>
          <w:color w:val="262626"/>
          <w:sz w:val="24"/>
          <w:szCs w:val="24"/>
        </w:rPr>
        <w:t>rding (with consent) and call monitoring for a sample of CATI interviews.</w:t>
      </w:r>
    </w:p>
    <w:p w:rsidR="00521A53" w:rsidRPr="00344EBC" w:rsidRDefault="001F444F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Independent back-check teams separate from the original recruitment/interviewing team.</w:t>
      </w:r>
    </w:p>
    <w:p w:rsidR="00521A53" w:rsidRPr="00344EBC" w:rsidRDefault="001F444F">
      <w:pPr>
        <w:pStyle w:val="Heading1"/>
        <w:pBdr>
          <w:bottom w:val="single" w:sz="6" w:space="4" w:color="B08D57"/>
        </w:pBdr>
        <w:spacing w:before="400" w:after="200"/>
        <w:rPr>
          <w:sz w:val="24"/>
          <w:szCs w:val="24"/>
        </w:rPr>
      </w:pPr>
      <w:bookmarkStart w:id="15" w:name="_Toc239302373"/>
      <w:r w:rsidRPr="00344EBC">
        <w:rPr>
          <w:b/>
          <w:bCs/>
          <w:color w:val="1F3864"/>
          <w:sz w:val="24"/>
          <w:szCs w:val="24"/>
        </w:rPr>
        <w:t>11. Incentive Methodology</w:t>
      </w:r>
      <w:bookmarkEnd w:id="15"/>
    </w:p>
    <w:p w:rsidR="00521A53" w:rsidRPr="00344EBC" w:rsidRDefault="001F444F">
      <w:pPr>
        <w:spacing w:after="16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We calibrate incentives by audience difficulty, interview length, and</w:t>
      </w:r>
      <w:r w:rsidRPr="00344EBC">
        <w:rPr>
          <w:color w:val="262626"/>
          <w:sz w:val="24"/>
          <w:szCs w:val="24"/>
        </w:rPr>
        <w:t xml:space="preserve"> market cost of living, and pay them via locally appropriate channels:</w:t>
      </w:r>
    </w:p>
    <w:tbl>
      <w:tblPr>
        <w:tblW w:w="99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6934"/>
      </w:tblGrid>
      <w:tr w:rsidR="00521A53" w:rsidRPr="00344EB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72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jc w:val="center"/>
              <w:rPr>
                <w:sz w:val="24"/>
                <w:szCs w:val="24"/>
              </w:rPr>
            </w:pPr>
            <w:r w:rsidRPr="00344EBC">
              <w:rPr>
                <w:b/>
                <w:bCs/>
                <w:color w:val="FFFFFF"/>
                <w:sz w:val="24"/>
                <w:szCs w:val="24"/>
              </w:rPr>
              <w:t>Audience</w:t>
            </w:r>
          </w:p>
        </w:tc>
        <w:tc>
          <w:tcPr>
            <w:tcW w:w="6934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jc w:val="center"/>
              <w:rPr>
                <w:sz w:val="24"/>
                <w:szCs w:val="24"/>
              </w:rPr>
            </w:pPr>
            <w:r w:rsidRPr="00344EBC">
              <w:rPr>
                <w:b/>
                <w:bCs/>
                <w:color w:val="FFFFFF"/>
                <w:sz w:val="24"/>
                <w:szCs w:val="24"/>
              </w:rPr>
              <w:t>Typical incentive approach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29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General population (online)</w:t>
            </w:r>
          </w:p>
        </w:tc>
        <w:tc>
          <w:tcPr>
            <w:tcW w:w="69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Mobile airtime, mobile money credit, or panel points/vouchers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2972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General population (F2F/CATI)</w:t>
            </w:r>
          </w:p>
        </w:tc>
        <w:tc>
          <w:tcPr>
            <w:tcW w:w="693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Cash-equivalent (mobile money) or small gift, in line with local norms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29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B2B / professional</w:t>
            </w:r>
          </w:p>
        </w:tc>
        <w:tc>
          <w:tcPr>
            <w:tcW w:w="69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Higher-value vouchers, charitable donation option, or research summary access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2972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Healthcare (HCP)</w:t>
            </w:r>
          </w:p>
        </w:tc>
        <w:tc>
          <w:tcPr>
            <w:tcW w:w="693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Honoraria set within local medical-association ethical guidelines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29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Qualitative participants</w:t>
            </w:r>
          </w:p>
        </w:tc>
        <w:tc>
          <w:tcPr>
            <w:tcW w:w="69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Higher per-session incentive reflecting time commitment (typically 60–90 min)</w:t>
            </w:r>
          </w:p>
        </w:tc>
      </w:tr>
    </w:tbl>
    <w:p w:rsidR="00521A53" w:rsidRPr="00344EBC" w:rsidRDefault="001F444F">
      <w:pPr>
        <w:spacing w:after="200"/>
        <w:rPr>
          <w:sz w:val="24"/>
          <w:szCs w:val="24"/>
        </w:rPr>
      </w:pPr>
      <w:r w:rsidRPr="00344EBC">
        <w:rPr>
          <w:i/>
          <w:iCs/>
          <w:color w:val="595959"/>
          <w:sz w:val="24"/>
          <w:szCs w:val="24"/>
        </w:rPr>
        <w:t>We benchmark incentive levels against local market norms and review them to ensure they encourage genuine participation without introducing bias (i.e. not so high as to attract professional/fraudulent respondents).</w:t>
      </w:r>
    </w:p>
    <w:p w:rsidR="00521A53" w:rsidRPr="00344EBC" w:rsidRDefault="001F444F">
      <w:pPr>
        <w:pStyle w:val="Heading1"/>
        <w:pBdr>
          <w:bottom w:val="single" w:sz="6" w:space="4" w:color="B08D57"/>
        </w:pBdr>
        <w:spacing w:before="400" w:after="200"/>
        <w:rPr>
          <w:sz w:val="24"/>
          <w:szCs w:val="24"/>
        </w:rPr>
      </w:pPr>
      <w:bookmarkStart w:id="16" w:name="_Toc239302374"/>
      <w:r w:rsidRPr="00344EBC">
        <w:rPr>
          <w:b/>
          <w:bCs/>
          <w:color w:val="1F3864"/>
          <w:sz w:val="24"/>
          <w:szCs w:val="24"/>
        </w:rPr>
        <w:t>12. Data Protection &amp; Compliance</w:t>
      </w:r>
      <w:bookmarkEnd w:id="16"/>
    </w:p>
    <w:p w:rsidR="00521A53" w:rsidRPr="00344EBC" w:rsidRDefault="001F444F">
      <w:pPr>
        <w:spacing w:after="16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Malana R</w:t>
      </w:r>
      <w:r w:rsidRPr="00344EBC">
        <w:rPr>
          <w:color w:val="262626"/>
          <w:sz w:val="24"/>
          <w:szCs w:val="24"/>
        </w:rPr>
        <w:t>esearch Consult International conducts fieldwork in line with international research standards (ESOMAR/GDPR-aligned principles) and applicable local data protection legislation, which varies significantly by market:</w:t>
      </w:r>
    </w:p>
    <w:tbl>
      <w:tblPr>
        <w:tblW w:w="99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6934"/>
      </w:tblGrid>
      <w:tr w:rsidR="00521A53" w:rsidRPr="00344EB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72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jc w:val="center"/>
              <w:rPr>
                <w:sz w:val="24"/>
                <w:szCs w:val="24"/>
              </w:rPr>
            </w:pPr>
            <w:r w:rsidRPr="00344EBC">
              <w:rPr>
                <w:b/>
                <w:bCs/>
                <w:color w:val="FFFFFF"/>
                <w:sz w:val="24"/>
                <w:szCs w:val="24"/>
              </w:rPr>
              <w:t>Market</w:t>
            </w:r>
          </w:p>
        </w:tc>
        <w:tc>
          <w:tcPr>
            <w:tcW w:w="6934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jc w:val="center"/>
              <w:rPr>
                <w:sz w:val="24"/>
                <w:szCs w:val="24"/>
              </w:rPr>
            </w:pPr>
            <w:r w:rsidRPr="00344EBC">
              <w:rPr>
                <w:b/>
                <w:bCs/>
                <w:color w:val="FFFFFF"/>
                <w:sz w:val="24"/>
                <w:szCs w:val="24"/>
              </w:rPr>
              <w:t>Key data protection framework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29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South Africa</w:t>
            </w:r>
          </w:p>
        </w:tc>
        <w:tc>
          <w:tcPr>
            <w:tcW w:w="69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Protection of Personal Information Act (POPIA)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2972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Nigeria</w:t>
            </w:r>
          </w:p>
        </w:tc>
        <w:tc>
          <w:tcPr>
            <w:tcW w:w="693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Nigeria Data Protection Act (NDPA), 2023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29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Kenya</w:t>
            </w:r>
          </w:p>
        </w:tc>
        <w:tc>
          <w:tcPr>
            <w:tcW w:w="69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Data Protection Act, 2019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2972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Egypt</w:t>
            </w:r>
          </w:p>
        </w:tc>
        <w:tc>
          <w:tcPr>
            <w:tcW w:w="693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Personal Data Protection Law, 2020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29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Ghana</w:t>
            </w:r>
          </w:p>
        </w:tc>
        <w:tc>
          <w:tcPr>
            <w:tcW w:w="69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Data Protection Act, 2012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2972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Morocco</w:t>
            </w:r>
          </w:p>
        </w:tc>
        <w:tc>
          <w:tcPr>
            <w:tcW w:w="693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Law 09-08 on Personal Data Protection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297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Other markets</w:t>
            </w:r>
          </w:p>
        </w:tc>
        <w:tc>
          <w:tcPr>
            <w:tcW w:w="693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Assessed on a country-by-country basis; ESOMAR global guidelines applied as baseline</w:t>
            </w:r>
          </w:p>
        </w:tc>
      </w:tr>
    </w:tbl>
    <w:p w:rsidR="00521A53" w:rsidRPr="00344EBC" w:rsidRDefault="001F444F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Informed consent obtained and recorded prior to data collection, including purpose and data usage disclosure.</w:t>
      </w:r>
    </w:p>
    <w:p w:rsidR="00521A53" w:rsidRPr="00344EBC" w:rsidRDefault="001F444F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Personally identifiable information (PII) stored separately from survey response data where possible.</w:t>
      </w:r>
    </w:p>
    <w:p w:rsidR="00521A53" w:rsidRPr="00344EBC" w:rsidRDefault="001F444F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Data anonymisation/pseudonymisation applied before analysis and client delivery, unless otherwise agreed.</w:t>
      </w:r>
    </w:p>
    <w:p w:rsidR="00521A53" w:rsidRPr="00344EBC" w:rsidRDefault="001F444F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Secure data transfer protocols (encrypted transf</w:t>
      </w:r>
      <w:r w:rsidRPr="00344EBC">
        <w:rPr>
          <w:color w:val="262626"/>
          <w:sz w:val="24"/>
          <w:szCs w:val="24"/>
        </w:rPr>
        <w:t>er, access-controlled servers) for all client deliverables.</w:t>
      </w:r>
    </w:p>
    <w:p w:rsidR="00521A53" w:rsidRPr="00344EBC" w:rsidRDefault="001F444F">
      <w:pPr>
        <w:pStyle w:val="ListParagraph"/>
        <w:numPr>
          <w:ilvl w:val="0"/>
          <w:numId w:val="2"/>
        </w:numPr>
        <w:spacing w:after="8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Data retention and deletion schedules agreed per project and per local legal requirements.</w:t>
      </w:r>
    </w:p>
    <w:p w:rsidR="00521A53" w:rsidRPr="00344EBC" w:rsidRDefault="001F444F">
      <w:pPr>
        <w:pStyle w:val="Heading1"/>
        <w:pBdr>
          <w:bottom w:val="single" w:sz="6" w:space="4" w:color="B08D57"/>
        </w:pBdr>
        <w:spacing w:before="400" w:after="200"/>
        <w:rPr>
          <w:sz w:val="24"/>
          <w:szCs w:val="24"/>
        </w:rPr>
      </w:pPr>
      <w:bookmarkStart w:id="17" w:name="_Toc239302375"/>
      <w:r w:rsidRPr="00344EBC">
        <w:rPr>
          <w:b/>
          <w:bCs/>
          <w:color w:val="1F3864"/>
          <w:sz w:val="24"/>
          <w:szCs w:val="24"/>
        </w:rPr>
        <w:t>13. Languages</w:t>
      </w:r>
      <w:bookmarkEnd w:id="17"/>
    </w:p>
    <w:p w:rsidR="00521A53" w:rsidRPr="00344EBC" w:rsidRDefault="001F444F">
      <w:pPr>
        <w:spacing w:after="16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We support questionnaire translation and interviewing in the principal official and widely-</w:t>
      </w:r>
      <w:r w:rsidRPr="00344EBC">
        <w:rPr>
          <w:color w:val="262626"/>
          <w:sz w:val="24"/>
          <w:szCs w:val="24"/>
        </w:rPr>
        <w:t>spoken languages across our covered markets:</w:t>
      </w:r>
    </w:p>
    <w:tbl>
      <w:tblPr>
        <w:tblW w:w="990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4"/>
        <w:gridCol w:w="7132"/>
      </w:tblGrid>
      <w:tr w:rsidR="00521A53" w:rsidRPr="00344EBC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74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jc w:val="center"/>
              <w:rPr>
                <w:sz w:val="24"/>
                <w:szCs w:val="24"/>
              </w:rPr>
            </w:pPr>
            <w:r w:rsidRPr="00344EBC">
              <w:rPr>
                <w:b/>
                <w:bCs/>
                <w:color w:val="FFFFFF"/>
                <w:sz w:val="24"/>
                <w:szCs w:val="24"/>
              </w:rPr>
              <w:t>Market</w:t>
            </w:r>
          </w:p>
        </w:tc>
        <w:tc>
          <w:tcPr>
            <w:tcW w:w="7132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jc w:val="center"/>
              <w:rPr>
                <w:sz w:val="24"/>
                <w:szCs w:val="24"/>
              </w:rPr>
            </w:pPr>
            <w:r w:rsidRPr="00344EBC">
              <w:rPr>
                <w:b/>
                <w:bCs/>
                <w:color w:val="FFFFFF"/>
                <w:sz w:val="24"/>
                <w:szCs w:val="24"/>
              </w:rPr>
              <w:t>Languages typically supported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27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South Africa</w:t>
            </w:r>
          </w:p>
        </w:tc>
        <w:tc>
          <w:tcPr>
            <w:tcW w:w="71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English, Afrikaans, Zulu, Xhosa, Sotho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277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Nigeria</w:t>
            </w:r>
          </w:p>
        </w:tc>
        <w:tc>
          <w:tcPr>
            <w:tcW w:w="7132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English, Hausa, Yoruba, Igbo, Pidgin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27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Kenya</w:t>
            </w:r>
          </w:p>
        </w:tc>
        <w:tc>
          <w:tcPr>
            <w:tcW w:w="71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English, Swahili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277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Egypt</w:t>
            </w:r>
          </w:p>
        </w:tc>
        <w:tc>
          <w:tcPr>
            <w:tcW w:w="7132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Arabic (Egyptian dialect), English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27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Ghana</w:t>
            </w:r>
          </w:p>
        </w:tc>
        <w:tc>
          <w:tcPr>
            <w:tcW w:w="71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English, Twi, Ga, Ewe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277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Morocco</w:t>
            </w:r>
          </w:p>
        </w:tc>
        <w:tc>
          <w:tcPr>
            <w:tcW w:w="7132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Arabic (Darija), French, Amazigh (Tamazight)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27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Côte d'Ivoire / Senegal</w:t>
            </w:r>
          </w:p>
        </w:tc>
        <w:tc>
          <w:tcPr>
            <w:tcW w:w="71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French, Wolof (Senegal), local languages on request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2774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Ethiopia</w:t>
            </w:r>
          </w:p>
        </w:tc>
        <w:tc>
          <w:tcPr>
            <w:tcW w:w="7132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Amharic, English</w:t>
            </w:r>
          </w:p>
        </w:tc>
      </w:tr>
      <w:tr w:rsidR="00521A53" w:rsidRPr="00344EBC">
        <w:tblPrEx>
          <w:tblCellMar>
            <w:top w:w="0" w:type="dxa"/>
            <w:bottom w:w="0" w:type="dxa"/>
          </w:tblCellMar>
        </w:tblPrEx>
        <w:tc>
          <w:tcPr>
            <w:tcW w:w="277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Tanzania / Uganda</w:t>
            </w:r>
          </w:p>
        </w:tc>
        <w:tc>
          <w:tcPr>
            <w:tcW w:w="7132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521A53" w:rsidRPr="00344EBC" w:rsidRDefault="001F444F">
            <w:pPr>
              <w:rPr>
                <w:sz w:val="24"/>
                <w:szCs w:val="24"/>
              </w:rPr>
            </w:pPr>
            <w:r w:rsidRPr="00344EBC">
              <w:rPr>
                <w:color w:val="262626"/>
                <w:sz w:val="24"/>
                <w:szCs w:val="24"/>
              </w:rPr>
              <w:t>Swahili, English, Luganda (Uganda)</w:t>
            </w:r>
          </w:p>
        </w:tc>
      </w:tr>
    </w:tbl>
    <w:p w:rsidR="00521A53" w:rsidRPr="00344EBC" w:rsidRDefault="001F444F">
      <w:pPr>
        <w:spacing w:after="200"/>
        <w:rPr>
          <w:sz w:val="24"/>
          <w:szCs w:val="24"/>
        </w:rPr>
      </w:pPr>
      <w:r w:rsidRPr="00344EBC">
        <w:rPr>
          <w:i/>
          <w:iCs/>
          <w:color w:val="595959"/>
          <w:sz w:val="24"/>
          <w:szCs w:val="24"/>
        </w:rPr>
        <w:t>Additional local/regional languages and dialects can be accommodated on request; our translation process follows a translate–back-translate–reconcile approach for questionnaire fidelity.</w:t>
      </w:r>
    </w:p>
    <w:p w:rsidR="00521A53" w:rsidRPr="00344EBC" w:rsidRDefault="001F444F">
      <w:pPr>
        <w:pStyle w:val="Heading1"/>
        <w:pBdr>
          <w:bottom w:val="single" w:sz="6" w:space="4" w:color="B08D57"/>
        </w:pBdr>
        <w:spacing w:before="400" w:after="200"/>
        <w:rPr>
          <w:sz w:val="24"/>
          <w:szCs w:val="24"/>
        </w:rPr>
      </w:pPr>
      <w:bookmarkStart w:id="18" w:name="_Toc239302376"/>
      <w:r w:rsidRPr="00344EBC">
        <w:rPr>
          <w:b/>
          <w:bCs/>
          <w:color w:val="1F3864"/>
          <w:sz w:val="24"/>
          <w:szCs w:val="24"/>
        </w:rPr>
        <w:t>14. Case Studies</w:t>
      </w:r>
      <w:bookmarkEnd w:id="18"/>
    </w:p>
    <w:p w:rsidR="00521A53" w:rsidRPr="00344EBC" w:rsidRDefault="001F444F">
      <w:pPr>
        <w:pStyle w:val="Heading2"/>
        <w:spacing w:before="260" w:after="120"/>
        <w:rPr>
          <w:sz w:val="24"/>
          <w:szCs w:val="24"/>
        </w:rPr>
      </w:pPr>
      <w:bookmarkStart w:id="19" w:name="_Toc239302377"/>
      <w:r w:rsidRPr="00344EBC">
        <w:rPr>
          <w:b/>
          <w:bCs/>
          <w:color w:val="1F3864"/>
          <w:sz w:val="24"/>
          <w:szCs w:val="24"/>
        </w:rPr>
        <w:t>Case study 1 — Pan-African telecom U&amp;A tracker</w:t>
      </w:r>
      <w:bookmarkEnd w:id="19"/>
    </w:p>
    <w:p w:rsidR="00521A53" w:rsidRPr="00344EBC" w:rsidRDefault="001F444F">
      <w:pPr>
        <w:spacing w:after="16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Malan</w:t>
      </w:r>
      <w:r w:rsidRPr="00344EBC">
        <w:rPr>
          <w:color w:val="262626"/>
          <w:sz w:val="24"/>
          <w:szCs w:val="24"/>
        </w:rPr>
        <w:t xml:space="preserve">a Research Consult International ran a continuous usage &amp; attitudes tracker for a telecommunications brand across 8 African markets (n=400 per market, quarterly waves, online + CATI blend). We delivered consistent methodology and translated questionnaires </w:t>
      </w:r>
      <w:r w:rsidRPr="00344EBC">
        <w:rPr>
          <w:color w:val="262626"/>
          <w:sz w:val="24"/>
          <w:szCs w:val="24"/>
        </w:rPr>
        <w:t>across markets, with a centralised quality-control layer and a single pan-African dashboard for cross-market comparison.</w:t>
      </w:r>
    </w:p>
    <w:p w:rsidR="00521A53" w:rsidRPr="00344EBC" w:rsidRDefault="001F444F">
      <w:pPr>
        <w:pStyle w:val="Heading2"/>
        <w:spacing w:before="260" w:after="120"/>
        <w:rPr>
          <w:sz w:val="24"/>
          <w:szCs w:val="24"/>
        </w:rPr>
      </w:pPr>
      <w:bookmarkStart w:id="20" w:name="_Toc239302378"/>
      <w:r w:rsidRPr="00344EBC">
        <w:rPr>
          <w:b/>
          <w:bCs/>
          <w:color w:val="1F3864"/>
          <w:sz w:val="24"/>
          <w:szCs w:val="24"/>
        </w:rPr>
        <w:t>Case study 2 — Healthcare professional study, East &amp; Southern Africa</w:t>
      </w:r>
      <w:bookmarkEnd w:id="20"/>
    </w:p>
    <w:p w:rsidR="00521A53" w:rsidRPr="00344EBC" w:rsidRDefault="001F444F">
      <w:pPr>
        <w:spacing w:after="16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We conducted a quantitative study among 250 GPs and specialists ac</w:t>
      </w:r>
      <w:r w:rsidRPr="00344EBC">
        <w:rPr>
          <w:color w:val="262626"/>
          <w:sz w:val="24"/>
          <w:szCs w:val="24"/>
        </w:rPr>
        <w:t>ross Kenya, Tanzania, and South Africa exploring treatment pathways for a chronic condition. Our recruitment combined verified HCP panels and clinic-based field recruiters, with medical-terminology questionnaire review and honoraria aligned to local medica</w:t>
      </w:r>
      <w:r w:rsidRPr="00344EBC">
        <w:rPr>
          <w:color w:val="262626"/>
          <w:sz w:val="24"/>
          <w:szCs w:val="24"/>
        </w:rPr>
        <w:t>l-association guidelines.</w:t>
      </w:r>
    </w:p>
    <w:p w:rsidR="00521A53" w:rsidRPr="00344EBC" w:rsidRDefault="001F444F">
      <w:pPr>
        <w:pStyle w:val="Heading2"/>
        <w:spacing w:before="260" w:after="120"/>
        <w:rPr>
          <w:sz w:val="24"/>
          <w:szCs w:val="24"/>
        </w:rPr>
      </w:pPr>
      <w:bookmarkStart w:id="21" w:name="_Toc239302379"/>
      <w:r w:rsidRPr="00344EBC">
        <w:rPr>
          <w:b/>
          <w:bCs/>
          <w:color w:val="1F3864"/>
          <w:sz w:val="24"/>
          <w:szCs w:val="24"/>
        </w:rPr>
        <w:t>Case study 3 — B2B decision-maker research, West Africa</w:t>
      </w:r>
      <w:bookmarkEnd w:id="21"/>
    </w:p>
    <w:p w:rsidR="00521A53" w:rsidRPr="00344EBC" w:rsidRDefault="001F444F">
      <w:pPr>
        <w:spacing w:after="16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We delivered executive interviews (n=120) with IT and procurement decision-makers across Nigeria and Ghana for a technology solutions provider, combining LinkedIn-sourced rec</w:t>
      </w:r>
      <w:r w:rsidRPr="00344EBC">
        <w:rPr>
          <w:color w:val="262626"/>
          <w:sz w:val="24"/>
          <w:szCs w:val="24"/>
        </w:rPr>
        <w:t>ruitment with our field-based executive recruiters to reach a low-incidence, senior audience within a 4-week field window.</w:t>
      </w:r>
    </w:p>
    <w:p w:rsidR="00521A53" w:rsidRPr="00344EBC" w:rsidRDefault="001F444F">
      <w:pPr>
        <w:pStyle w:val="Heading2"/>
        <w:spacing w:before="260" w:after="120"/>
        <w:rPr>
          <w:sz w:val="24"/>
          <w:szCs w:val="24"/>
        </w:rPr>
      </w:pPr>
      <w:bookmarkStart w:id="22" w:name="_Toc239302380"/>
      <w:r w:rsidRPr="00344EBC">
        <w:rPr>
          <w:b/>
          <w:bCs/>
          <w:color w:val="1F3864"/>
          <w:sz w:val="24"/>
          <w:szCs w:val="24"/>
        </w:rPr>
        <w:t>Case study 4 — Rural financial inclusion study, multi-market</w:t>
      </w:r>
      <w:bookmarkEnd w:id="22"/>
    </w:p>
    <w:p w:rsidR="00521A53" w:rsidRPr="00344EBC" w:rsidRDefault="001F444F">
      <w:pPr>
        <w:spacing w:after="160"/>
        <w:rPr>
          <w:sz w:val="24"/>
          <w:szCs w:val="24"/>
        </w:rPr>
      </w:pPr>
      <w:r w:rsidRPr="00344EBC">
        <w:rPr>
          <w:color w:val="262626"/>
          <w:sz w:val="24"/>
          <w:szCs w:val="24"/>
        </w:rPr>
        <w:t>We executed face-to-face fieldwork (n=600 per market) across rural and p</w:t>
      </w:r>
      <w:r w:rsidRPr="00344EBC">
        <w:rPr>
          <w:color w:val="262626"/>
          <w:sz w:val="24"/>
          <w:szCs w:val="24"/>
        </w:rPr>
        <w:t>eri-urban areas in Uganda, Rwanda, and Zambia assessing mobile money adoption. Fieldwork used GPS-tracked CAPI interviews and mobile-money incentive disbursement, and we extended the field timeline to accommodate low-connectivity rural sampling points.</w:t>
      </w:r>
    </w:p>
    <w:p w:rsidR="00521A53" w:rsidRPr="00344EBC" w:rsidRDefault="001F444F">
      <w:pPr>
        <w:spacing w:after="200"/>
        <w:rPr>
          <w:sz w:val="24"/>
          <w:szCs w:val="24"/>
        </w:rPr>
      </w:pPr>
      <w:r w:rsidRPr="00344EBC">
        <w:rPr>
          <w:i/>
          <w:iCs/>
          <w:color w:val="595959"/>
          <w:sz w:val="24"/>
          <w:szCs w:val="24"/>
        </w:rPr>
        <w:t>Cas</w:t>
      </w:r>
      <w:r w:rsidRPr="00344EBC">
        <w:rPr>
          <w:i/>
          <w:iCs/>
          <w:color w:val="595959"/>
          <w:sz w:val="24"/>
          <w:szCs w:val="24"/>
        </w:rPr>
        <w:t>e studies are illustrative examples of typical project scope and delivery approach; detailed references and client-specific results are available from Malana Research Consult International on request, under NDA.</w:t>
      </w:r>
    </w:p>
    <w:sectPr w:rsidR="00521A53" w:rsidRPr="00344EBC">
      <w:headerReference w:type="default" r:id="rId7"/>
      <w:footerReference w:type="default" r:id="rId8"/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44F" w:rsidRDefault="001F444F">
      <w:r>
        <w:separator/>
      </w:r>
    </w:p>
  </w:endnote>
  <w:endnote w:type="continuationSeparator" w:id="0">
    <w:p w:rsidR="001F444F" w:rsidRDefault="001F4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A53" w:rsidRDefault="001F444F">
    <w:pPr>
      <w:jc w:val="center"/>
    </w:pP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 w:rsidR="00344EBC">
      <w:rPr>
        <w:color w:val="595959"/>
        <w:sz w:val="16"/>
        <w:szCs w:val="16"/>
      </w:rPr>
      <w:fldChar w:fldCharType="separate"/>
    </w:r>
    <w:r w:rsidR="00AD4404">
      <w:rPr>
        <w:noProof/>
        <w:color w:val="595959"/>
        <w:sz w:val="16"/>
        <w:szCs w:val="16"/>
      </w:rPr>
      <w:t>6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44F" w:rsidRDefault="001F444F">
      <w:r>
        <w:separator/>
      </w:r>
    </w:p>
  </w:footnote>
  <w:footnote w:type="continuationSeparator" w:id="0">
    <w:p w:rsidR="001F444F" w:rsidRDefault="001F44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A53" w:rsidRDefault="001F444F">
    <w:pPr>
      <w:pBdr>
        <w:bottom w:val="single" w:sz="4" w:space="2" w:color="BFBFBF"/>
      </w:pBdr>
      <w:tabs>
        <w:tab w:val="right" w:pos="9026"/>
      </w:tabs>
    </w:pPr>
    <w:r>
      <w:rPr>
        <w:color w:val="595959"/>
        <w:sz w:val="16"/>
        <w:szCs w:val="16"/>
      </w:rPr>
      <w:t>Malana Research Consult International — Africa Feasibility</w:t>
    </w:r>
    <w:r>
      <w:rPr>
        <w:sz w:val="16"/>
        <w:szCs w:val="16"/>
      </w:rPr>
      <w:tab/>
    </w:r>
    <w:r>
      <w:rPr>
        <w:color w:val="595959"/>
        <w:sz w:val="16"/>
        <w:szCs w:val="16"/>
      </w:rPr>
      <w:t>Confidential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0E54D6"/>
    <w:multiLevelType w:val="hybridMultilevel"/>
    <w:tmpl w:val="C0FABD00"/>
    <w:lvl w:ilvl="0" w:tplc="5E569960">
      <w:start w:val="1"/>
      <w:numFmt w:val="bullet"/>
      <w:lvlText w:val="•"/>
      <w:lvlJc w:val="left"/>
      <w:pPr>
        <w:ind w:left="420" w:hanging="260"/>
      </w:pPr>
    </w:lvl>
    <w:lvl w:ilvl="1" w:tplc="7CD20E54">
      <w:numFmt w:val="decimal"/>
      <w:lvlText w:val=""/>
      <w:lvlJc w:val="left"/>
    </w:lvl>
    <w:lvl w:ilvl="2" w:tplc="1A9C3974">
      <w:numFmt w:val="decimal"/>
      <w:lvlText w:val=""/>
      <w:lvlJc w:val="left"/>
    </w:lvl>
    <w:lvl w:ilvl="3" w:tplc="8B547E94">
      <w:numFmt w:val="decimal"/>
      <w:lvlText w:val=""/>
      <w:lvlJc w:val="left"/>
    </w:lvl>
    <w:lvl w:ilvl="4" w:tplc="885A501A">
      <w:numFmt w:val="decimal"/>
      <w:lvlText w:val=""/>
      <w:lvlJc w:val="left"/>
    </w:lvl>
    <w:lvl w:ilvl="5" w:tplc="89A02782">
      <w:numFmt w:val="decimal"/>
      <w:lvlText w:val=""/>
      <w:lvlJc w:val="left"/>
    </w:lvl>
    <w:lvl w:ilvl="6" w:tplc="1968E92A">
      <w:numFmt w:val="decimal"/>
      <w:lvlText w:val=""/>
      <w:lvlJc w:val="left"/>
    </w:lvl>
    <w:lvl w:ilvl="7" w:tplc="7A5E0170">
      <w:numFmt w:val="decimal"/>
      <w:lvlText w:val=""/>
      <w:lvlJc w:val="left"/>
    </w:lvl>
    <w:lvl w:ilvl="8" w:tplc="A8D2214A">
      <w:numFmt w:val="decimal"/>
      <w:lvlText w:val=""/>
      <w:lvlJc w:val="left"/>
    </w:lvl>
  </w:abstractNum>
  <w:abstractNum w:abstractNumId="1">
    <w:nsid w:val="6E015896"/>
    <w:multiLevelType w:val="hybridMultilevel"/>
    <w:tmpl w:val="8D3804CE"/>
    <w:lvl w:ilvl="0" w:tplc="BDA0498C">
      <w:start w:val="1"/>
      <w:numFmt w:val="bullet"/>
      <w:lvlText w:val="●"/>
      <w:lvlJc w:val="left"/>
      <w:pPr>
        <w:ind w:left="720" w:hanging="360"/>
      </w:pPr>
    </w:lvl>
    <w:lvl w:ilvl="1" w:tplc="00AAB0D2">
      <w:start w:val="1"/>
      <w:numFmt w:val="bullet"/>
      <w:lvlText w:val="○"/>
      <w:lvlJc w:val="left"/>
      <w:pPr>
        <w:ind w:left="1440" w:hanging="360"/>
      </w:pPr>
    </w:lvl>
    <w:lvl w:ilvl="2" w:tplc="EB06CF02">
      <w:start w:val="1"/>
      <w:numFmt w:val="bullet"/>
      <w:lvlText w:val="■"/>
      <w:lvlJc w:val="left"/>
      <w:pPr>
        <w:ind w:left="2160" w:hanging="360"/>
      </w:pPr>
    </w:lvl>
    <w:lvl w:ilvl="3" w:tplc="324CEF88">
      <w:start w:val="1"/>
      <w:numFmt w:val="bullet"/>
      <w:lvlText w:val="●"/>
      <w:lvlJc w:val="left"/>
      <w:pPr>
        <w:ind w:left="2880" w:hanging="360"/>
      </w:pPr>
    </w:lvl>
    <w:lvl w:ilvl="4" w:tplc="F618B24E">
      <w:start w:val="1"/>
      <w:numFmt w:val="bullet"/>
      <w:lvlText w:val="○"/>
      <w:lvlJc w:val="left"/>
      <w:pPr>
        <w:ind w:left="3600" w:hanging="360"/>
      </w:pPr>
    </w:lvl>
    <w:lvl w:ilvl="5" w:tplc="CA20AD54">
      <w:start w:val="1"/>
      <w:numFmt w:val="bullet"/>
      <w:lvlText w:val="■"/>
      <w:lvlJc w:val="left"/>
      <w:pPr>
        <w:ind w:left="4320" w:hanging="360"/>
      </w:pPr>
    </w:lvl>
    <w:lvl w:ilvl="6" w:tplc="DBE8CF8C">
      <w:start w:val="1"/>
      <w:numFmt w:val="bullet"/>
      <w:lvlText w:val="●"/>
      <w:lvlJc w:val="left"/>
      <w:pPr>
        <w:ind w:left="5040" w:hanging="360"/>
      </w:pPr>
    </w:lvl>
    <w:lvl w:ilvl="7" w:tplc="CAFCA8D8">
      <w:start w:val="1"/>
      <w:numFmt w:val="bullet"/>
      <w:lvlText w:val="●"/>
      <w:lvlJc w:val="left"/>
      <w:pPr>
        <w:ind w:left="5760" w:hanging="360"/>
      </w:pPr>
    </w:lvl>
    <w:lvl w:ilvl="8" w:tplc="F6C80B3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A53"/>
    <w:rsid w:val="000A50FE"/>
    <w:rsid w:val="001F444F"/>
    <w:rsid w:val="00344EBC"/>
    <w:rsid w:val="00521A53"/>
    <w:rsid w:val="009C4206"/>
    <w:rsid w:val="00A32514"/>
    <w:rsid w:val="00AD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5FD385-A313-43B2-ACB5-7748B56DA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344EB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44EBC"/>
    <w:pPr>
      <w:spacing w:after="100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2406</Words>
  <Characters>13715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account</cp:lastModifiedBy>
  <cp:revision>2</cp:revision>
  <dcterms:created xsi:type="dcterms:W3CDTF">2026-09-03T11:42:00Z</dcterms:created>
  <dcterms:modified xsi:type="dcterms:W3CDTF">2026-09-03T11:42:00Z</dcterms:modified>
</cp:coreProperties>
</file>